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abf8b0d5171a452bd420a7b9ce5b9a9a0f2277"/>
    <w:p>
      <w:pPr>
        <w:pStyle w:val="Heading1"/>
      </w:pPr>
      <w:r>
        <w:t xml:space="preserve">🩺 CRE DOMAIN ADAPTER – ALLGEMEINMEDIZIN (GP) (CANVAS v1)</w:t>
      </w:r>
    </w:p>
    <w:p>
      <w:pPr>
        <w:pStyle w:val="BlockText"/>
      </w:pPr>
      <w:r>
        <w:t xml:space="preserve">Zweck dieses Canvas: Spezifikation, wie die</w:t>
      </w:r>
      <w:r>
        <w:t xml:space="preserve"> </w:t>
      </w:r>
      <w:r>
        <w:rPr>
          <w:b/>
          <w:bCs/>
        </w:rPr>
        <w:t xml:space="preserve">Clinical Reasoning Engine (CRE)</w:t>
      </w:r>
      <w:r>
        <w:t xml:space="preserve"> </w:t>
      </w:r>
      <w:r>
        <w:t xml:space="preserve">im Kontext der</w:t>
      </w:r>
      <w:r>
        <w:t xml:space="preserve"> </w:t>
      </w:r>
      <w:r>
        <w:rPr>
          <w:b/>
          <w:bCs/>
        </w:rPr>
        <w:t xml:space="preserve">Allgemeinmedizin / Inneren Medizin</w:t>
      </w:r>
      <w:r>
        <w:t xml:space="preserve"> </w:t>
      </w:r>
      <w:r>
        <w:t xml:space="preserve">arbeitet.</w:t>
      </w:r>
      <w:r>
        <w:t xml:space="preserve"> </w:t>
      </w:r>
      <w:r>
        <w:t xml:space="preserve">Der GP‑Adapter ist der</w:t>
      </w:r>
      <w:r>
        <w:t xml:space="preserve"> </w:t>
      </w:r>
      <w:r>
        <w:rPr>
          <w:b/>
          <w:bCs/>
        </w:rPr>
        <w:t xml:space="preserve">Referenz‑Adapter</w:t>
      </w:r>
      <w:r>
        <w:t xml:space="preserve">, an dem sich alle weiteren Fach‑Adapter messen lassen müssen.</w:t>
      </w:r>
    </w:p>
    <w:p>
      <w:r>
        <w:pict>
          <v:rect style="width:0;height:1.5pt" o:hralign="center" o:hrstd="t" o:hr="t"/>
        </w:pict>
      </w:r>
    </w:p>
    <w:bookmarkStart w:id="20" w:name="medizinischer-auftrag-des-gpadapters"/>
    <w:p>
      <w:pPr>
        <w:pStyle w:val="Heading2"/>
      </w:pPr>
      <w:r>
        <w:t xml:space="preserve">1) Medizinischer Auftrag des GP‑Adapters</w:t>
      </w:r>
    </w:p>
    <w:p>
      <w:pPr>
        <w:pStyle w:val="FirstParagraph"/>
      </w:pPr>
      <w:r>
        <w:t xml:space="preserve">Die Allgemeinmedizin ist: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unspezifisch</w:t>
      </w:r>
      <w:r>
        <w:t xml:space="preserve">, nicht organspezifisch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früh</w:t>
      </w:r>
      <w:r>
        <w:t xml:space="preserve">, nicht abschließend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langitudinal</w:t>
      </w:r>
      <w:r>
        <w:t xml:space="preserve">, nicht episodisch</w:t>
      </w:r>
    </w:p>
    <w:p>
      <w:pPr>
        <w:pStyle w:val="BodyText"/>
      </w:pPr>
      <w:r>
        <w:t xml:space="preserve">Der GP‑Adapter dient der:</w:t>
      </w:r>
      <w:r>
        <w:t xml:space="preserve"> </w:t>
      </w:r>
      <w:r>
        <w:t xml:space="preserve">- strukturierten Ersteinordnung</w:t>
      </w:r>
      <w:r>
        <w:t xml:space="preserve"> </w:t>
      </w:r>
      <w:r>
        <w:t xml:space="preserve">- sicheren Red‑Flag‑Erkennung</w:t>
      </w:r>
      <w:r>
        <w:t xml:space="preserve"> </w:t>
      </w:r>
      <w:r>
        <w:t xml:space="preserve">- Vermeidung von Frühfixierung</w:t>
      </w:r>
      <w:r>
        <w:t xml:space="preserve"> </w:t>
      </w:r>
      <w:r>
        <w:t xml:space="preserve">- Vorbereitung gezielter Weiterdiagnostik oder Überweisung</w:t>
      </w:r>
    </w:p>
    <w:p>
      <w:r>
        <w:pict>
          <v:rect style="width:0;height:1.5pt" o:hralign="center" o:hrstd="t" o:hr="t"/>
        </w:pict>
      </w:r>
    </w:p>
    <w:bookmarkEnd w:id="20"/>
    <w:bookmarkStart w:id="21" w:name="typische-leitsymptomcluster-gprealität"/>
    <w:p>
      <w:pPr>
        <w:pStyle w:val="Heading2"/>
      </w:pPr>
      <w:r>
        <w:t xml:space="preserve">2) Typische Leitsymptom‑Cluster (GP‑Realität)</w:t>
      </w:r>
    </w:p>
    <w:p>
      <w:pPr>
        <w:pStyle w:val="FirstParagraph"/>
      </w:pPr>
      <w:r>
        <w:t xml:space="preserve">Der Adapter priorisiert</w:t>
      </w:r>
      <w:r>
        <w:t xml:space="preserve"> </w:t>
      </w:r>
      <w:r>
        <w:rPr>
          <w:b/>
          <w:bCs/>
        </w:rPr>
        <w:t xml:space="preserve">Symptom‑Cluster</w:t>
      </w:r>
      <w:r>
        <w:t xml:space="preserve">, nicht Diagnosen:</w:t>
      </w:r>
    </w:p>
    <w:p>
      <w:pPr>
        <w:pStyle w:val="Compact"/>
        <w:numPr>
          <w:ilvl w:val="0"/>
          <w:numId w:val="1001"/>
        </w:numPr>
      </w:pPr>
      <w:r>
        <w:t xml:space="preserve">Müdigkeit / Leistungsabfall</w:t>
      </w:r>
    </w:p>
    <w:p>
      <w:pPr>
        <w:pStyle w:val="Compact"/>
        <w:numPr>
          <w:ilvl w:val="0"/>
          <w:numId w:val="1001"/>
        </w:numPr>
      </w:pPr>
      <w:r>
        <w:t xml:space="preserve">Schwindel / Benommenheit</w:t>
      </w:r>
    </w:p>
    <w:p>
      <w:pPr>
        <w:pStyle w:val="Compact"/>
        <w:numPr>
          <w:ilvl w:val="0"/>
          <w:numId w:val="1001"/>
        </w:numPr>
      </w:pPr>
      <w:r>
        <w:t xml:space="preserve">Palpitationen / Herzstolpern</w:t>
      </w:r>
    </w:p>
    <w:p>
      <w:pPr>
        <w:pStyle w:val="Compact"/>
        <w:numPr>
          <w:ilvl w:val="0"/>
          <w:numId w:val="1001"/>
        </w:numPr>
      </w:pPr>
      <w:r>
        <w:t xml:space="preserve">Dyspnoe / Belastungsintoleranz</w:t>
      </w:r>
    </w:p>
    <w:p>
      <w:pPr>
        <w:pStyle w:val="Compact"/>
        <w:numPr>
          <w:ilvl w:val="0"/>
          <w:numId w:val="1001"/>
        </w:numPr>
      </w:pPr>
      <w:r>
        <w:t xml:space="preserve">Thoraxbeschwerden (unklar)</w:t>
      </w:r>
    </w:p>
    <w:p>
      <w:pPr>
        <w:pStyle w:val="Compact"/>
        <w:numPr>
          <w:ilvl w:val="0"/>
          <w:numId w:val="1001"/>
        </w:numPr>
      </w:pPr>
      <w:r>
        <w:t xml:space="preserve">Synkope / Präsynkope</w:t>
      </w:r>
    </w:p>
    <w:p>
      <w:pPr>
        <w:pStyle w:val="Compact"/>
        <w:numPr>
          <w:ilvl w:val="0"/>
          <w:numId w:val="1001"/>
        </w:numPr>
      </w:pPr>
      <w:r>
        <w:t xml:space="preserve">Gewichtsveränderung</w:t>
      </w:r>
    </w:p>
    <w:p>
      <w:pPr>
        <w:pStyle w:val="Compact"/>
        <w:numPr>
          <w:ilvl w:val="0"/>
          <w:numId w:val="1001"/>
        </w:numPr>
      </w:pPr>
      <w:r>
        <w:t xml:space="preserve">Schlafstörungen</w:t>
      </w:r>
    </w:p>
    <w:p>
      <w:pPr>
        <w:pStyle w:val="Compact"/>
        <w:numPr>
          <w:ilvl w:val="0"/>
          <w:numId w:val="1001"/>
        </w:numPr>
      </w:pPr>
      <w:r>
        <w:t xml:space="preserve">diffuse Schmerzen</w:t>
      </w:r>
    </w:p>
    <w:p>
      <w:pPr>
        <w:pStyle w:val="Compact"/>
        <w:numPr>
          <w:ilvl w:val="0"/>
          <w:numId w:val="1001"/>
        </w:numPr>
      </w:pPr>
      <w:r>
        <w:t xml:space="preserve">„Ich fühle mich nicht richtig“</w:t>
      </w:r>
    </w:p>
    <w:p>
      <w:r>
        <w:pict>
          <v:rect style="width:0;height:1.5pt" o:hralign="center" o:hrstd="t" o:hr="t"/>
        </w:pict>
      </w:r>
    </w:p>
    <w:bookmarkEnd w:id="21"/>
    <w:bookmarkStart w:id="22" w:name="hypothesenbreite-explizit-gewollt"/>
    <w:p>
      <w:pPr>
        <w:pStyle w:val="Heading2"/>
      </w:pPr>
      <w:r>
        <w:t xml:space="preserve">3) Hypothesen‑Breite (explizit gewollt)</w:t>
      </w:r>
    </w:p>
    <w:p>
      <w:pPr>
        <w:pStyle w:val="FirstParagraph"/>
      </w:pPr>
      <w:r>
        <w:t xml:space="preserve">Der GP‑Adapter hält</w:t>
      </w:r>
      <w:r>
        <w:t xml:space="preserve"> </w:t>
      </w:r>
      <w:r>
        <w:rPr>
          <w:b/>
          <w:bCs/>
        </w:rPr>
        <w:t xml:space="preserve">bewusst viele parallele Hypothesen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kardial</w:t>
      </w:r>
    </w:p>
    <w:p>
      <w:pPr>
        <w:pStyle w:val="Compact"/>
        <w:numPr>
          <w:ilvl w:val="0"/>
          <w:numId w:val="1002"/>
        </w:numPr>
      </w:pPr>
      <w:r>
        <w:t xml:space="preserve">pulmonal</w:t>
      </w:r>
    </w:p>
    <w:p>
      <w:pPr>
        <w:pStyle w:val="Compact"/>
        <w:numPr>
          <w:ilvl w:val="0"/>
          <w:numId w:val="1002"/>
        </w:numPr>
      </w:pPr>
      <w:r>
        <w:t xml:space="preserve">neurologisch</w:t>
      </w:r>
    </w:p>
    <w:p>
      <w:pPr>
        <w:pStyle w:val="Compact"/>
        <w:numPr>
          <w:ilvl w:val="0"/>
          <w:numId w:val="1002"/>
        </w:numPr>
      </w:pPr>
      <w:r>
        <w:t xml:space="preserve">endokrin/metabolisch</w:t>
      </w:r>
    </w:p>
    <w:p>
      <w:pPr>
        <w:pStyle w:val="Compact"/>
        <w:numPr>
          <w:ilvl w:val="0"/>
          <w:numId w:val="1002"/>
        </w:numPr>
      </w:pPr>
      <w:r>
        <w:t xml:space="preserve">infektiös / inflammatorisch</w:t>
      </w:r>
    </w:p>
    <w:p>
      <w:pPr>
        <w:pStyle w:val="Compact"/>
        <w:numPr>
          <w:ilvl w:val="0"/>
          <w:numId w:val="1002"/>
        </w:numPr>
      </w:pPr>
      <w:r>
        <w:t xml:space="preserve">psychosomatisch</w:t>
      </w:r>
    </w:p>
    <w:p>
      <w:pPr>
        <w:pStyle w:val="Compact"/>
        <w:numPr>
          <w:ilvl w:val="0"/>
          <w:numId w:val="1002"/>
        </w:numPr>
      </w:pPr>
      <w:r>
        <w:t xml:space="preserve">medikamentös / toxisch</w:t>
      </w:r>
    </w:p>
    <w:p>
      <w:pPr>
        <w:pStyle w:val="BlockText"/>
      </w:pPr>
      <w:r>
        <w:rPr>
          <w:b/>
          <w:bCs/>
        </w:rPr>
        <w:t xml:space="preserve">Regel:</w:t>
      </w:r>
      <w:r>
        <w:t xml:space="preserve"> </w:t>
      </w:r>
      <w:r>
        <w:t xml:space="preserve">keine frühe Ausschließung ohne Evidenz.</w:t>
      </w:r>
    </w:p>
    <w:p>
      <w:r>
        <w:pict>
          <v:rect style="width:0;height:1.5pt" o:hralign="center" o:hrstd="t" o:hr="t"/>
        </w:pict>
      </w:r>
    </w:p>
    <w:bookmarkEnd w:id="22"/>
    <w:bookmarkStart w:id="23" w:name="hypothesenpriors-gewichtung"/>
    <w:p>
      <w:pPr>
        <w:pStyle w:val="Heading2"/>
      </w:pPr>
      <w:r>
        <w:t xml:space="preserve">4) Hypothesen‑Priors (Gewichtung)</w:t>
      </w:r>
    </w:p>
    <w:p>
      <w:pPr>
        <w:pStyle w:val="FirstParagraph"/>
      </w:pPr>
      <w:r>
        <w:t xml:space="preserve">Im Vergleich zu Spezial‑Adaptern: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höhere Grund‑Unsicherheit (U↑)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breitere Differential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höherer Safety Weight (S↑)</w:t>
      </w:r>
      <w:r>
        <w:t xml:space="preserve"> </w:t>
      </w:r>
      <w:r>
        <w:t xml:space="preserve">bei unklaren Symptomen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- Synkope → hohe kardiale + neurologische Priorität</w:t>
      </w:r>
      <w:r>
        <w:t xml:space="preserve"> </w:t>
      </w:r>
      <w:r>
        <w:t xml:space="preserve">- Müdigkeit → metabolisch / endokrin früh mitdenken</w:t>
      </w:r>
    </w:p>
    <w:p>
      <w:r>
        <w:pict>
          <v:rect style="width:0;height:1.5pt" o:hralign="center" o:hrstd="t" o:hr="t"/>
        </w:pict>
      </w:r>
    </w:p>
    <w:bookmarkEnd w:id="23"/>
    <w:bookmarkStart w:id="24" w:name="redflagprofil-gpspezifisch"/>
    <w:p>
      <w:pPr>
        <w:pStyle w:val="Heading2"/>
      </w:pPr>
      <w:r>
        <w:t xml:space="preserve">5) Red‑Flag‑Profil (GP‑spezifisch)</w:t>
      </w:r>
    </w:p>
    <w:p>
      <w:pPr>
        <w:pStyle w:val="FirstParagraph"/>
      </w:pPr>
      <w:r>
        <w:t xml:space="preserve">Der GP‑Adapter ist</w:t>
      </w:r>
      <w:r>
        <w:t xml:space="preserve"> </w:t>
      </w:r>
      <w:r>
        <w:rPr>
          <w:b/>
          <w:bCs/>
        </w:rPr>
        <w:t xml:space="preserve">konservativ</w:t>
      </w:r>
      <w:r>
        <w:t xml:space="preserve">:</w:t>
      </w:r>
      <w:r>
        <w:t xml:space="preserve"> </w:t>
      </w:r>
      <w:r>
        <w:t xml:space="preserve">- niedrigere Schwelle für Eskalation</w:t>
      </w:r>
      <w:r>
        <w:t xml:space="preserve"> </w:t>
      </w:r>
      <w:r>
        <w:t xml:space="preserve">- häufiger Level B (Priority Review)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- neue Symptome bei &gt;60 J.</w:t>
      </w:r>
      <w:r>
        <w:t xml:space="preserve"> </w:t>
      </w:r>
      <w:r>
        <w:t xml:space="preserve">- bekannte Multimorbidität</w:t>
      </w:r>
      <w:r>
        <w:t xml:space="preserve"> </w:t>
      </w:r>
      <w:r>
        <w:t xml:space="preserve">- Polypharmazie</w:t>
      </w:r>
    </w:p>
    <w:p>
      <w:r>
        <w:pict>
          <v:rect style="width:0;height:1.5pt" o:hralign="center" o:hrstd="t" o:hr="t"/>
        </w:pict>
      </w:r>
    </w:p>
    <w:bookmarkEnd w:id="24"/>
    <w:bookmarkStart w:id="27" w:name="frage-dialogstil"/>
    <w:p>
      <w:pPr>
        <w:pStyle w:val="Heading2"/>
      </w:pPr>
      <w:r>
        <w:t xml:space="preserve">6) Frage‑ &amp; Dialogstil</w:t>
      </w:r>
    </w:p>
    <w:bookmarkStart w:id="25" w:name="explorativ-vor-strukturiert"/>
    <w:p>
      <w:pPr>
        <w:pStyle w:val="Heading3"/>
      </w:pPr>
      <w:r>
        <w:t xml:space="preserve">6.1 Explorativ vor strukturiert</w:t>
      </w:r>
    </w:p>
    <w:p>
      <w:pPr>
        <w:pStyle w:val="Compact"/>
        <w:numPr>
          <w:ilvl w:val="0"/>
          <w:numId w:val="1003"/>
        </w:numPr>
      </w:pPr>
      <w:r>
        <w:t xml:space="preserve">lange narrative Phase</w:t>
      </w:r>
    </w:p>
    <w:p>
      <w:pPr>
        <w:pStyle w:val="Compact"/>
        <w:numPr>
          <w:ilvl w:val="0"/>
          <w:numId w:val="1003"/>
        </w:numPr>
      </w:pPr>
      <w:r>
        <w:t xml:space="preserve">offene Einstiegsfragen</w:t>
      </w:r>
    </w:p>
    <w:bookmarkEnd w:id="25"/>
    <w:bookmarkStart w:id="26" w:name="schonende-strukturierung"/>
    <w:p>
      <w:pPr>
        <w:pStyle w:val="Heading3"/>
      </w:pPr>
      <w:r>
        <w:t xml:space="preserve">6.2 Schonende Strukturierung</w:t>
      </w:r>
    </w:p>
    <w:p>
      <w:pPr>
        <w:pStyle w:val="Compact"/>
        <w:numPr>
          <w:ilvl w:val="0"/>
          <w:numId w:val="1004"/>
        </w:numPr>
      </w:pPr>
      <w:r>
        <w:t xml:space="preserve">kurze strukturierte Blöcke</w:t>
      </w:r>
    </w:p>
    <w:p>
      <w:pPr>
        <w:pStyle w:val="Compact"/>
        <w:numPr>
          <w:ilvl w:val="0"/>
          <w:numId w:val="1004"/>
        </w:numPr>
      </w:pPr>
      <w:r>
        <w:t xml:space="preserve">Vermeidung medizinischer Fachbegriffe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imeawareness-longitudinalität"/>
    <w:p>
      <w:pPr>
        <w:pStyle w:val="Heading2"/>
      </w:pPr>
      <w:r>
        <w:t xml:space="preserve">7) Time‑Awareness &amp; Longitudinalität</w:t>
      </w:r>
    </w:p>
    <w:p>
      <w:pPr>
        <w:pStyle w:val="FirstParagraph"/>
      </w:pPr>
      <w:r>
        <w:t xml:space="preserve">Der GP‑Adapter berücksichtigt explizit:</w:t>
      </w:r>
      <w:r>
        <w:t xml:space="preserve"> </w:t>
      </w:r>
      <w:r>
        <w:t xml:space="preserve">- frühere CRE‑Intakes</w:t>
      </w:r>
      <w:r>
        <w:t xml:space="preserve"> </w:t>
      </w:r>
      <w:r>
        <w:t xml:space="preserve">- zeitliche Veränderungen</w:t>
      </w:r>
      <w:r>
        <w:t xml:space="preserve"> </w:t>
      </w:r>
      <w:r>
        <w:t xml:space="preserve">- Symptom‑Persistenz vs. Fluktuation</w:t>
      </w:r>
    </w:p>
    <w:p>
      <w:pPr>
        <w:pStyle w:val="BodyText"/>
      </w:pPr>
      <w:r>
        <w:t xml:space="preserve">➡️ zentrale Stärke gegenüber episodischen Systemen.</w:t>
      </w:r>
    </w:p>
    <w:p>
      <w:r>
        <w:pict>
          <v:rect style="width:0;height:1.5pt" o:hralign="center" o:hrstd="t" o:hr="t"/>
        </w:pict>
      </w:r>
    </w:p>
    <w:bookmarkEnd w:id="28"/>
    <w:bookmarkStart w:id="31" w:name="outputspezifika-gprelevant"/>
    <w:p>
      <w:pPr>
        <w:pStyle w:val="Heading2"/>
      </w:pPr>
      <w:r>
        <w:t xml:space="preserve">8) Output‑Spezifika (GP‑relevant)</w:t>
      </w:r>
    </w:p>
    <w:bookmarkStart w:id="29" w:name="kurzanamnese-gpoptimiert"/>
    <w:p>
      <w:pPr>
        <w:pStyle w:val="Heading3"/>
      </w:pPr>
      <w:r>
        <w:t xml:space="preserve">8.1 Kurzanamnese (GP‑optimiert)</w:t>
      </w:r>
    </w:p>
    <w:p>
      <w:pPr>
        <w:pStyle w:val="Compact"/>
        <w:numPr>
          <w:ilvl w:val="0"/>
          <w:numId w:val="1005"/>
        </w:numPr>
      </w:pPr>
      <w:r>
        <w:t xml:space="preserve">Hauptproblem</w:t>
      </w:r>
    </w:p>
    <w:p>
      <w:pPr>
        <w:pStyle w:val="Compact"/>
        <w:numPr>
          <w:ilvl w:val="0"/>
          <w:numId w:val="1005"/>
        </w:numPr>
      </w:pPr>
      <w:r>
        <w:t xml:space="preserve">Zeitachse</w:t>
      </w:r>
    </w:p>
    <w:p>
      <w:pPr>
        <w:pStyle w:val="Compact"/>
        <w:numPr>
          <w:ilvl w:val="0"/>
          <w:numId w:val="1005"/>
        </w:numPr>
      </w:pPr>
      <w:r>
        <w:t xml:space="preserve">Red Flags (ja/nein)</w:t>
      </w:r>
    </w:p>
    <w:p>
      <w:pPr>
        <w:pStyle w:val="Compact"/>
        <w:numPr>
          <w:ilvl w:val="0"/>
          <w:numId w:val="1005"/>
        </w:numPr>
      </w:pPr>
      <w:r>
        <w:t xml:space="preserve">offene Kernfragen</w:t>
      </w:r>
    </w:p>
    <w:bookmarkEnd w:id="29"/>
    <w:bookmarkStart w:id="30" w:name="strukturierte-empfehlung-nicht-therapie"/>
    <w:p>
      <w:pPr>
        <w:pStyle w:val="Heading3"/>
      </w:pPr>
      <w:r>
        <w:t xml:space="preserve">8.2 Strukturierte Empfehlung (nicht Therapie!)</w:t>
      </w:r>
    </w:p>
    <w:p>
      <w:pPr>
        <w:pStyle w:val="Compact"/>
        <w:numPr>
          <w:ilvl w:val="0"/>
          <w:numId w:val="1006"/>
        </w:numPr>
      </w:pPr>
      <w:r>
        <w:t xml:space="preserve">empfohlene nächste Datenerhebung</w:t>
      </w:r>
    </w:p>
    <w:p>
      <w:pPr>
        <w:pStyle w:val="Compact"/>
        <w:numPr>
          <w:ilvl w:val="0"/>
          <w:numId w:val="1006"/>
        </w:numPr>
      </w:pPr>
      <w:r>
        <w:t xml:space="preserve">Hinweise zur Überweisung (Fachrichtung)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bgrenzung-zu-spezialadaptern"/>
    <w:p>
      <w:pPr>
        <w:pStyle w:val="Heading2"/>
      </w:pPr>
      <w:r>
        <w:t xml:space="preserve">9) Abgrenzung zu Spezial‑Adaptern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GP‑Adapter</w:t>
            </w:r>
          </w:p>
        </w:tc>
        <w:tc>
          <w:tcPr/>
          <w:p>
            <w:pPr>
              <w:pStyle w:val="Compact"/>
            </w:pPr>
            <w:r>
              <w:t xml:space="preserve">Spezial‑Adapter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Hypothesenbreite</w:t>
            </w:r>
          </w:p>
        </w:tc>
        <w:tc>
          <w:tcPr/>
          <w:p>
            <w:pPr>
              <w:pStyle w:val="Compact"/>
            </w:pPr>
            <w:r>
              <w:t xml:space="preserve">sehr hoch</w:t>
            </w:r>
          </w:p>
        </w:tc>
        <w:tc>
          <w:tcPr/>
          <w:p>
            <w:pPr>
              <w:pStyle w:val="Compact"/>
            </w:pPr>
            <w:r>
              <w:t xml:space="preserve">fokussiert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Eskalationsschwelle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höher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Longitudinalität</w:t>
            </w:r>
          </w:p>
        </w:tc>
        <w:tc>
          <w:tcPr/>
          <w:p>
            <w:pPr>
              <w:pStyle w:val="Compact"/>
            </w:pPr>
            <w:r>
              <w:t xml:space="preserve">zentral</w:t>
            </w:r>
          </w:p>
        </w:tc>
        <w:tc>
          <w:tcPr/>
          <w:p>
            <w:pPr>
              <w:pStyle w:val="Compact"/>
            </w:pPr>
            <w:r>
              <w:t xml:space="preserve">sekundär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Ziel</w:t>
            </w:r>
          </w:p>
        </w:tc>
        <w:tc>
          <w:tcPr/>
          <w:p>
            <w:pPr>
              <w:pStyle w:val="Compact"/>
            </w:pPr>
            <w:r>
              <w:t xml:space="preserve">Orientierung</w:t>
            </w:r>
          </w:p>
        </w:tc>
        <w:tc>
          <w:tcPr/>
          <w:p>
            <w:pPr>
              <w:pStyle w:val="Compact"/>
            </w:pPr>
            <w:r>
              <w:t xml:space="preserve">Vertiefung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73fc99a3c94e957b2b4b7e7c8e97038b7ae3612"/>
    <w:p>
      <w:pPr>
        <w:pStyle w:val="Heading2"/>
      </w:pPr>
      <w:r>
        <w:t xml:space="preserve">10) Typische Fehler, die der Adapter verhindern soll</w:t>
      </w:r>
    </w:p>
    <w:p>
      <w:pPr>
        <w:pStyle w:val="Compact"/>
        <w:numPr>
          <w:ilvl w:val="0"/>
          <w:numId w:val="1007"/>
        </w:numPr>
      </w:pPr>
      <w:r>
        <w:t xml:space="preserve">vorschnelle psychosomatische Etikettierung</w:t>
      </w:r>
    </w:p>
    <w:p>
      <w:pPr>
        <w:pStyle w:val="Compact"/>
        <w:numPr>
          <w:ilvl w:val="0"/>
          <w:numId w:val="1007"/>
        </w:numPr>
      </w:pPr>
      <w:r>
        <w:t xml:space="preserve">Übersehen von Red Flags</w:t>
      </w:r>
    </w:p>
    <w:p>
      <w:pPr>
        <w:pStyle w:val="Compact"/>
        <w:numPr>
          <w:ilvl w:val="0"/>
          <w:numId w:val="1007"/>
        </w:numPr>
      </w:pPr>
      <w:r>
        <w:t xml:space="preserve">unstrukturierte Dokumentation</w:t>
      </w:r>
    </w:p>
    <w:p>
      <w:pPr>
        <w:pStyle w:val="Compact"/>
        <w:numPr>
          <w:ilvl w:val="0"/>
          <w:numId w:val="1007"/>
        </w:numPr>
      </w:pPr>
      <w:r>
        <w:t xml:space="preserve">Verlust longitudinaler Information</w:t>
      </w:r>
    </w:p>
    <w:p>
      <w:r>
        <w:pict>
          <v:rect style="width:0;height:1.5pt" o:hralign="center" o:hrstd="t" o:hr="t"/>
        </w:pict>
      </w:r>
    </w:p>
    <w:bookmarkEnd w:id="33"/>
    <w:bookmarkStart w:id="34" w:name="implementationsparameter-für-devs"/>
    <w:p>
      <w:pPr>
        <w:pStyle w:val="Heading2"/>
      </w:pPr>
      <w:r>
        <w:t xml:space="preserve">11) Implementationsparameter (für Devs)</w:t>
      </w:r>
    </w:p>
    <w:p>
      <w:pPr>
        <w:pStyle w:val="Compact"/>
        <w:numPr>
          <w:ilvl w:val="0"/>
          <w:numId w:val="1008"/>
        </w:numPr>
      </w:pPr>
      <w:r>
        <w:t xml:space="preserve">Hypothesenbibliothek: breit, nicht tief</w:t>
      </w:r>
    </w:p>
    <w:p>
      <w:pPr>
        <w:pStyle w:val="Compact"/>
        <w:numPr>
          <w:ilvl w:val="0"/>
          <w:numId w:val="1008"/>
        </w:numPr>
      </w:pPr>
      <w:r>
        <w:t xml:space="preserve">Red‑Flag‑Set: erweitert</w:t>
      </w:r>
    </w:p>
    <w:p>
      <w:pPr>
        <w:pStyle w:val="Compact"/>
        <w:numPr>
          <w:ilvl w:val="0"/>
          <w:numId w:val="1008"/>
        </w:numPr>
      </w:pPr>
      <w:r>
        <w:t xml:space="preserve">NBQ‑Schwelle: niedriger Informationsgewinn akzeptabel</w:t>
      </w:r>
    </w:p>
    <w:p>
      <w:pPr>
        <w:pStyle w:val="Compact"/>
        <w:numPr>
          <w:ilvl w:val="0"/>
          <w:numId w:val="1008"/>
        </w:numPr>
      </w:pPr>
      <w:r>
        <w:t xml:space="preserve">Output‑Templates: kurz &amp; übersichtlich</w:t>
      </w:r>
    </w:p>
    <w:p>
      <w:r>
        <w:pict>
          <v:rect style="width:0;height:1.5pt" o:hralign="center" o:hrstd="t" o:hr="t"/>
        </w:pict>
      </w:r>
    </w:p>
    <w:bookmarkEnd w:id="34"/>
    <w:bookmarkStart w:id="35" w:name="erfolgskriterien"/>
    <w:p>
      <w:pPr>
        <w:pStyle w:val="Heading2"/>
      </w:pPr>
      <w:r>
        <w:t xml:space="preserve">12) Erfolgskriterien</w:t>
      </w:r>
    </w:p>
    <w:p>
      <w:pPr>
        <w:pStyle w:val="Compact"/>
        <w:numPr>
          <w:ilvl w:val="0"/>
          <w:numId w:val="1009"/>
        </w:numPr>
      </w:pPr>
      <w:r>
        <w:t xml:space="preserve">Reduktion der Erhebungszeit</w:t>
      </w:r>
    </w:p>
    <w:p>
      <w:pPr>
        <w:pStyle w:val="Compact"/>
        <w:numPr>
          <w:ilvl w:val="0"/>
          <w:numId w:val="1009"/>
        </w:numPr>
      </w:pPr>
      <w:r>
        <w:t xml:space="preserve">erhöhte Vollständigkeit der Anamnese</w:t>
      </w:r>
    </w:p>
    <w:p>
      <w:pPr>
        <w:pStyle w:val="Compact"/>
        <w:numPr>
          <w:ilvl w:val="0"/>
          <w:numId w:val="1009"/>
        </w:numPr>
      </w:pPr>
      <w:r>
        <w:t xml:space="preserve">verbesserte Weiterleitungsqualität</w:t>
      </w:r>
    </w:p>
    <w:p>
      <w:pPr>
        <w:pStyle w:val="Compact"/>
        <w:numPr>
          <w:ilvl w:val="0"/>
          <w:numId w:val="1009"/>
        </w:numPr>
      </w:pPr>
      <w:r>
        <w:t xml:space="preserve">hohe Arztakzeptanz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Referenz‑Adapter für alle weiteren Domänen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7S‑Adapter‑Canvas (Rhythmologicum‑Spezialisierung)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2026-02-09T12:19:00Z</dcterms:created>
  <dcterms:modified xsi:type="dcterms:W3CDTF">2026-02-09T12:19:00Z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