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ad8f05ee70559d3c04307c1cbf632aeb0f7d70"/>
    <w:p>
      <w:pPr>
        <w:pStyle w:val="Heading1"/>
      </w:pPr>
      <w:r>
        <w:t xml:space="preserve">📦 CRE INTAKE PACKAGE – DATENMODELL &amp; SPEZIFIKATION (CANVAS v1)</w:t>
      </w:r>
    </w:p>
    <w:p>
      <w:pPr>
        <w:pStyle w:val="BlockText"/>
      </w:pPr>
      <w:r>
        <w:t xml:space="preserve">Zweck dieses Canvas:</w:t>
      </w:r>
      <w:r>
        <w:t xml:space="preserve"> </w:t>
      </w:r>
      <w:r>
        <w:rPr>
          <w:b/>
          <w:bCs/>
        </w:rPr>
        <w:t xml:space="preserve">präzise Definition</w:t>
      </w:r>
      <w:r>
        <w:t xml:space="preserve"> </w:t>
      </w:r>
      <w:r>
        <w:t xml:space="preserve">des standardisierten Outputs der CRE Intake Suite.</w:t>
      </w:r>
      <w:r>
        <w:br/>
      </w:r>
      <w:r>
        <w:t xml:space="preserve">Ziel: eindeutige Übergabeschnittstelle zwischen Intake/Reasoning und nachgelagerten Care‑Modulen (z. B. 7S, GP‑Companion, Spezialambulanzen).</w:t>
      </w:r>
    </w:p>
    <w:p>
      <w:r>
        <w:pict>
          <v:rect style="width:0;height:1.5pt" o:hralign="center" o:hrstd="t" o:hr="t"/>
        </w:pict>
      </w:r>
    </w:p>
    <w:bookmarkStart w:id="20" w:name="designprinzipien"/>
    <w:p>
      <w:pPr>
        <w:pStyle w:val="Heading2"/>
      </w:pPr>
      <w:r>
        <w:t xml:space="preserve">1. Designprinzipien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Trennung von Erhebung und Entscheidung</w:t>
      </w:r>
      <w:r>
        <w:t xml:space="preserve"> </w:t>
      </w:r>
      <w:r>
        <w:t xml:space="preserve">(Intake ≠ Therapie)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Dualität:</w:t>
      </w:r>
      <w:r>
        <w:t xml:space="preserve"> </w:t>
      </w:r>
      <w:r>
        <w:t xml:space="preserve">narrativ + strukturiert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Fachübergreifend gültig</w:t>
      </w:r>
      <w:r>
        <w:t xml:space="preserve"> </w:t>
      </w:r>
      <w:r>
        <w:t xml:space="preserve">(Kardiologie, Innere, GP, Neurologie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FHIR‑anschlussfähig</w:t>
      </w:r>
      <w:r>
        <w:t xml:space="preserve">, aber pragmatisch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Versioniert &amp; auditierbar</w:t>
      </w:r>
    </w:p>
    <w:p>
      <w:r>
        <w:pict>
          <v:rect style="width:0;height:1.5pt" o:hralign="center" o:hrstd="t" o:hr="t"/>
        </w:pict>
      </w:r>
    </w:p>
    <w:bookmarkEnd w:id="20"/>
    <w:bookmarkStart w:id="21" w:name="paketstruktur-toplevel"/>
    <w:p>
      <w:pPr>
        <w:pStyle w:val="Heading2"/>
      </w:pPr>
      <w:r>
        <w:t xml:space="preserve">2. Paketstruktur (Top‑Level)</w:t>
      </w:r>
    </w:p>
    <w:p>
      <w:pPr>
        <w:pStyle w:val="FirstParagraph"/>
      </w:pPr>
      <w:r>
        <w:rPr>
          <w:b/>
          <w:bCs/>
        </w:rPr>
        <w:t xml:space="preserve">ClinicalIntakePackage</w:t>
      </w:r>
      <w:r>
        <w:t xml:space="preserve"> </w:t>
      </w:r>
      <w:r>
        <w:t xml:space="preserve">- metadata</w:t>
      </w:r>
      <w:r>
        <w:t xml:space="preserve"> </w:t>
      </w:r>
      <w:r>
        <w:t xml:space="preserve">- patient_context</w:t>
      </w:r>
      <w:r>
        <w:t xml:space="preserve"> </w:t>
      </w:r>
      <w:r>
        <w:t xml:space="preserve">- encounter</w:t>
      </w:r>
      <w:r>
        <w:t xml:space="preserve"> </w:t>
      </w:r>
      <w:r>
        <w:t xml:space="preserve">- evidence_items</w:t>
      </w:r>
      <w:r>
        <w:t xml:space="preserve"> </w:t>
      </w:r>
      <w:r>
        <w:t xml:space="preserve">- structured_history</w:t>
      </w:r>
      <w:r>
        <w:t xml:space="preserve"> </w:t>
      </w:r>
      <w:r>
        <w:t xml:space="preserve">- narrative_history</w:t>
      </w:r>
      <w:r>
        <w:t xml:space="preserve"> </w:t>
      </w:r>
      <w:r>
        <w:t xml:space="preserve">- symptom_short_summary</w:t>
      </w:r>
      <w:r>
        <w:t xml:space="preserve"> </w:t>
      </w:r>
      <w:r>
        <w:t xml:space="preserve">- hypotheses_internal</w:t>
      </w:r>
      <w:r>
        <w:t xml:space="preserve"> </w:t>
      </w:r>
      <w:r>
        <w:t xml:space="preserve">- red_flags</w:t>
      </w:r>
      <w:r>
        <w:t xml:space="preserve"> </w:t>
      </w:r>
      <w:r>
        <w:t xml:space="preserve">- open_questions</w:t>
      </w:r>
      <w:r>
        <w:t xml:space="preserve"> </w:t>
      </w:r>
      <w:r>
        <w:t xml:space="preserve">- routing_tags</w:t>
      </w:r>
      <w:r>
        <w:t xml:space="preserve"> </w:t>
      </w:r>
      <w:r>
        <w:t xml:space="preserve">- quality_flags</w:t>
      </w:r>
    </w:p>
    <w:p>
      <w:r>
        <w:pict>
          <v:rect style="width:0;height:1.5pt" o:hralign="center" o:hrstd="t" o:hr="t"/>
        </w:pict>
      </w:r>
    </w:p>
    <w:bookmarkEnd w:id="21"/>
    <w:bookmarkStart w:id="22" w:name="metadata"/>
    <w:p>
      <w:pPr>
        <w:pStyle w:val="Heading2"/>
      </w:pPr>
      <w:r>
        <w:t xml:space="preserve">3. Metadata</w:t>
      </w:r>
    </w:p>
    <w:p>
      <w:pPr>
        <w:pStyle w:val="Compact"/>
        <w:numPr>
          <w:ilvl w:val="0"/>
          <w:numId w:val="1002"/>
        </w:numPr>
      </w:pPr>
      <w:r>
        <w:t xml:space="preserve">package_id (UUID)</w:t>
      </w:r>
    </w:p>
    <w:p>
      <w:pPr>
        <w:pStyle w:val="Compact"/>
        <w:numPr>
          <w:ilvl w:val="0"/>
          <w:numId w:val="1002"/>
        </w:numPr>
      </w:pPr>
      <w:r>
        <w:t xml:space="preserve">created_at (timestamp)</w:t>
      </w:r>
    </w:p>
    <w:p>
      <w:pPr>
        <w:pStyle w:val="Compact"/>
        <w:numPr>
          <w:ilvl w:val="0"/>
          <w:numId w:val="1002"/>
        </w:numPr>
      </w:pPr>
      <w:r>
        <w:t xml:space="preserve">locale / language</w:t>
      </w:r>
    </w:p>
    <w:p>
      <w:pPr>
        <w:pStyle w:val="Compact"/>
        <w:numPr>
          <w:ilvl w:val="0"/>
          <w:numId w:val="1002"/>
        </w:numPr>
      </w:pPr>
      <w:r>
        <w:t xml:space="preserve">cre_version</w:t>
      </w:r>
    </w:p>
    <w:p>
      <w:pPr>
        <w:pStyle w:val="Compact"/>
        <w:numPr>
          <w:ilvl w:val="0"/>
          <w:numId w:val="1002"/>
        </w:numPr>
      </w:pPr>
      <w:r>
        <w:t xml:space="preserve">ruleset_version</w:t>
      </w:r>
    </w:p>
    <w:p>
      <w:pPr>
        <w:pStyle w:val="Compact"/>
        <w:numPr>
          <w:ilvl w:val="0"/>
          <w:numId w:val="1002"/>
        </w:numPr>
      </w:pPr>
      <w:r>
        <w:t xml:space="preserve">model_version</w:t>
      </w:r>
    </w:p>
    <w:p>
      <w:pPr>
        <w:pStyle w:val="Compact"/>
        <w:numPr>
          <w:ilvl w:val="0"/>
          <w:numId w:val="1002"/>
        </w:numPr>
      </w:pPr>
      <w:r>
        <w:t xml:space="preserve">source_modalities (text | voice | video | passive | docs)</w:t>
      </w:r>
    </w:p>
    <w:p>
      <w:pPr>
        <w:pStyle w:val="Compact"/>
        <w:numPr>
          <w:ilvl w:val="0"/>
          <w:numId w:val="1002"/>
        </w:numPr>
      </w:pPr>
      <w:r>
        <w:t xml:space="preserve">signoff_status (draft | clinician_signed)</w:t>
      </w:r>
    </w:p>
    <w:p>
      <w:r>
        <w:pict>
          <v:rect style="width:0;height:1.5pt" o:hralign="center" o:hrstd="t" o:hr="t"/>
        </w:pict>
      </w:r>
    </w:p>
    <w:bookmarkEnd w:id="22"/>
    <w:bookmarkStart w:id="23" w:name="patient-context"/>
    <w:p>
      <w:pPr>
        <w:pStyle w:val="Heading2"/>
      </w:pPr>
      <w:r>
        <w:t xml:space="preserve">4. Patient Context</w:t>
      </w:r>
    </w:p>
    <w:p>
      <w:pPr>
        <w:pStyle w:val="Compact"/>
        <w:numPr>
          <w:ilvl w:val="0"/>
          <w:numId w:val="1003"/>
        </w:numPr>
      </w:pPr>
      <w:r>
        <w:t xml:space="preserve">demographics (age_range, sex_at_birth, gender_optional)</w:t>
      </w:r>
    </w:p>
    <w:p>
      <w:pPr>
        <w:pStyle w:val="Compact"/>
        <w:numPr>
          <w:ilvl w:val="0"/>
          <w:numId w:val="1003"/>
        </w:numPr>
      </w:pPr>
      <w:r>
        <w:t xml:space="preserve">height_weight_optional</w:t>
      </w:r>
    </w:p>
    <w:p>
      <w:pPr>
        <w:pStyle w:val="Compact"/>
        <w:numPr>
          <w:ilvl w:val="0"/>
          <w:numId w:val="1003"/>
        </w:numPr>
      </w:pPr>
      <w:r>
        <w:t xml:space="preserve">known_conditions (patient‑reported)</w:t>
      </w:r>
    </w:p>
    <w:p>
      <w:pPr>
        <w:pStyle w:val="Compact"/>
        <w:numPr>
          <w:ilvl w:val="0"/>
          <w:numId w:val="1003"/>
        </w:numPr>
      </w:pPr>
      <w:r>
        <w:t xml:space="preserve">current_medications (name, dose, adherence_unknown)</w:t>
      </w:r>
    </w:p>
    <w:p>
      <w:pPr>
        <w:pStyle w:val="Compact"/>
        <w:numPr>
          <w:ilvl w:val="0"/>
          <w:numId w:val="1003"/>
        </w:numPr>
      </w:pPr>
      <w:r>
        <w:t xml:space="preserve">allergies (type, reaction)</w:t>
      </w:r>
    </w:p>
    <w:p>
      <w:pPr>
        <w:pStyle w:val="Compact"/>
        <w:numPr>
          <w:ilvl w:val="0"/>
          <w:numId w:val="1003"/>
        </w:numPr>
      </w:pPr>
      <w:r>
        <w:t xml:space="preserve">pregnancy_status_optional</w:t>
      </w:r>
    </w:p>
    <w:p>
      <w:pPr>
        <w:pStyle w:val="BlockText"/>
      </w:pPr>
      <w:r>
        <w:rPr>
          <w:b/>
          <w:bCs/>
        </w:rPr>
        <w:t xml:space="preserve">Hinweis:</w:t>
      </w:r>
      <w:r>
        <w:t xml:space="preserve"> </w:t>
      </w:r>
      <w:r>
        <w:t xml:space="preserve">keine ICD‑Finalisierung, nur patient‑berichtete Angaben.</w:t>
      </w:r>
    </w:p>
    <w:p>
      <w:r>
        <w:pict>
          <v:rect style="width:0;height:1.5pt" o:hralign="center" o:hrstd="t" o:hr="t"/>
        </w:pict>
      </w:r>
    </w:p>
    <w:bookmarkEnd w:id="23"/>
    <w:bookmarkStart w:id="24" w:name="encounter"/>
    <w:p>
      <w:pPr>
        <w:pStyle w:val="Heading2"/>
      </w:pPr>
      <w:r>
        <w:t xml:space="preserve">5. Encounter</w:t>
      </w:r>
    </w:p>
    <w:p>
      <w:pPr>
        <w:pStyle w:val="Compact"/>
        <w:numPr>
          <w:ilvl w:val="0"/>
          <w:numId w:val="1004"/>
        </w:numPr>
      </w:pPr>
      <w:r>
        <w:t xml:space="preserve">chief_complaint (free text + normalized term)</w:t>
      </w:r>
    </w:p>
    <w:p>
      <w:pPr>
        <w:pStyle w:val="Compact"/>
        <w:numPr>
          <w:ilvl w:val="0"/>
          <w:numId w:val="1004"/>
        </w:numPr>
      </w:pPr>
      <w:r>
        <w:t xml:space="preserve">symptom_onset (date / relative)</w:t>
      </w:r>
    </w:p>
    <w:p>
      <w:pPr>
        <w:pStyle w:val="Compact"/>
        <w:numPr>
          <w:ilvl w:val="0"/>
          <w:numId w:val="1004"/>
        </w:numPr>
      </w:pPr>
      <w:r>
        <w:t xml:space="preserve">course (acute | subacute | chronic | episodic)</w:t>
      </w:r>
    </w:p>
    <w:p>
      <w:pPr>
        <w:pStyle w:val="Compact"/>
        <w:numPr>
          <w:ilvl w:val="0"/>
          <w:numId w:val="1004"/>
        </w:numPr>
      </w:pPr>
      <w:r>
        <w:t xml:space="preserve">setting (home | clinic | hospital | tele)</w:t>
      </w:r>
    </w:p>
    <w:p>
      <w:pPr>
        <w:pStyle w:val="Compact"/>
        <w:numPr>
          <w:ilvl w:val="0"/>
          <w:numId w:val="1004"/>
        </w:numPr>
      </w:pPr>
      <w:r>
        <w:t xml:space="preserve">urgency_self_reported</w:t>
      </w:r>
    </w:p>
    <w:p>
      <w:r>
        <w:pict>
          <v:rect style="width:0;height:1.5pt" o:hralign="center" o:hrstd="t" o:hr="t"/>
        </w:pict>
      </w:r>
    </w:p>
    <w:bookmarkEnd w:id="24"/>
    <w:bookmarkStart w:id="25" w:name="evidence-items-zentrales-element"/>
    <w:p>
      <w:pPr>
        <w:pStyle w:val="Heading2"/>
      </w:pPr>
      <w:r>
        <w:t xml:space="preserve">6. Evidence Items (zentrales Element)</w:t>
      </w:r>
    </w:p>
    <w:p>
      <w:pPr>
        <w:pStyle w:val="FirstParagraph"/>
      </w:pPr>
      <w:r>
        <w:t xml:space="preserve">Jedes Informationsteilchen ist ein</w:t>
      </w:r>
      <w:r>
        <w:t xml:space="preserve"> </w:t>
      </w:r>
      <w:r>
        <w:rPr>
          <w:b/>
          <w:bCs/>
        </w:rPr>
        <w:t xml:space="preserve">EvidenceItem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evidence_id</w:t>
      </w:r>
    </w:p>
    <w:p>
      <w:pPr>
        <w:pStyle w:val="Compact"/>
        <w:numPr>
          <w:ilvl w:val="0"/>
          <w:numId w:val="1005"/>
        </w:numPr>
      </w:pPr>
      <w:r>
        <w:t xml:space="preserve">source (patient_statement | wearable | document | observation)</w:t>
      </w:r>
    </w:p>
    <w:p>
      <w:pPr>
        <w:pStyle w:val="Compact"/>
        <w:numPr>
          <w:ilvl w:val="0"/>
          <w:numId w:val="1005"/>
        </w:numPr>
      </w:pPr>
      <w:r>
        <w:t xml:space="preserve">entity_type (symptom | sign | measurement | context)</w:t>
      </w:r>
    </w:p>
    <w:p>
      <w:pPr>
        <w:pStyle w:val="Compact"/>
        <w:numPr>
          <w:ilvl w:val="0"/>
          <w:numId w:val="1005"/>
        </w:numPr>
      </w:pPr>
      <w:r>
        <w:t xml:space="preserve">entity_name (standardized term)</w:t>
      </w:r>
    </w:p>
    <w:p>
      <w:pPr>
        <w:pStyle w:val="Compact"/>
        <w:numPr>
          <w:ilvl w:val="0"/>
          <w:numId w:val="1005"/>
        </w:numPr>
      </w:pPr>
      <w:r>
        <w:t xml:space="preserve">value (text | numeric | coded)</w:t>
      </w:r>
    </w:p>
    <w:p>
      <w:pPr>
        <w:pStyle w:val="Compact"/>
        <w:numPr>
          <w:ilvl w:val="0"/>
          <w:numId w:val="1005"/>
        </w:numPr>
      </w:pPr>
      <w:r>
        <w:t xml:space="preserve">unit (if applicable)</w:t>
      </w:r>
    </w:p>
    <w:p>
      <w:pPr>
        <w:pStyle w:val="Compact"/>
        <w:numPr>
          <w:ilvl w:val="0"/>
          <w:numId w:val="1005"/>
        </w:numPr>
      </w:pPr>
      <w:r>
        <w:t xml:space="preserve">certainty (high | medium | low)</w:t>
      </w:r>
    </w:p>
    <w:p>
      <w:pPr>
        <w:pStyle w:val="Compact"/>
        <w:numPr>
          <w:ilvl w:val="0"/>
          <w:numId w:val="1005"/>
        </w:numPr>
      </w:pPr>
      <w:r>
        <w:t xml:space="preserve">timestamp</w:t>
      </w:r>
    </w:p>
    <w:p>
      <w:pPr>
        <w:pStyle w:val="FirstParagraph"/>
      </w:pPr>
      <w:r>
        <w:t xml:space="preserve">➡️ Grundlage für Hypothesen, Timeline, Audit.</w:t>
      </w:r>
    </w:p>
    <w:p>
      <w:r>
        <w:pict>
          <v:rect style="width:0;height:1.5pt" o:hralign="center" o:hrstd="t" o:hr="t"/>
        </w:pict>
      </w:r>
    </w:p>
    <w:bookmarkEnd w:id="25"/>
    <w:bookmarkStart w:id="29" w:name="structured-history-maschinenlesbar"/>
    <w:p>
      <w:pPr>
        <w:pStyle w:val="Heading2"/>
      </w:pPr>
      <w:r>
        <w:t xml:space="preserve">7. Structured History (maschinenlesbar)</w:t>
      </w:r>
    </w:p>
    <w:bookmarkStart w:id="26" w:name="hpi-oldcarts-opqrst"/>
    <w:p>
      <w:pPr>
        <w:pStyle w:val="Heading3"/>
      </w:pPr>
      <w:r>
        <w:t xml:space="preserve">7.1 HPI (OLDCARTS / OPQRST)</w:t>
      </w:r>
    </w:p>
    <w:p>
      <w:pPr>
        <w:pStyle w:val="Compact"/>
        <w:numPr>
          <w:ilvl w:val="0"/>
          <w:numId w:val="1006"/>
        </w:numPr>
      </w:pPr>
      <w:r>
        <w:t xml:space="preserve">location</w:t>
      </w:r>
    </w:p>
    <w:p>
      <w:pPr>
        <w:pStyle w:val="Compact"/>
        <w:numPr>
          <w:ilvl w:val="0"/>
          <w:numId w:val="1006"/>
        </w:numPr>
      </w:pPr>
      <w:r>
        <w:t xml:space="preserve">onset</w:t>
      </w:r>
    </w:p>
    <w:p>
      <w:pPr>
        <w:pStyle w:val="Compact"/>
        <w:numPr>
          <w:ilvl w:val="0"/>
          <w:numId w:val="1006"/>
        </w:numPr>
      </w:pPr>
      <w:r>
        <w:t xml:space="preserve">duration</w:t>
      </w:r>
    </w:p>
    <w:p>
      <w:pPr>
        <w:pStyle w:val="Compact"/>
        <w:numPr>
          <w:ilvl w:val="0"/>
          <w:numId w:val="1006"/>
        </w:numPr>
      </w:pPr>
      <w:r>
        <w:t xml:space="preserve">characteristics</w:t>
      </w:r>
    </w:p>
    <w:p>
      <w:pPr>
        <w:pStyle w:val="Compact"/>
        <w:numPr>
          <w:ilvl w:val="0"/>
          <w:numId w:val="1006"/>
        </w:numPr>
      </w:pPr>
      <w:r>
        <w:t xml:space="preserve">aggravating_factors</w:t>
      </w:r>
    </w:p>
    <w:p>
      <w:pPr>
        <w:pStyle w:val="Compact"/>
        <w:numPr>
          <w:ilvl w:val="0"/>
          <w:numId w:val="1006"/>
        </w:numPr>
      </w:pPr>
      <w:r>
        <w:t xml:space="preserve">relieving_factors</w:t>
      </w:r>
    </w:p>
    <w:p>
      <w:pPr>
        <w:pStyle w:val="Compact"/>
        <w:numPr>
          <w:ilvl w:val="0"/>
          <w:numId w:val="1006"/>
        </w:numPr>
      </w:pPr>
      <w:r>
        <w:t xml:space="preserve">timing</w:t>
      </w:r>
    </w:p>
    <w:p>
      <w:pPr>
        <w:pStyle w:val="Compact"/>
        <w:numPr>
          <w:ilvl w:val="0"/>
          <w:numId w:val="1006"/>
        </w:numPr>
      </w:pPr>
      <w:r>
        <w:t xml:space="preserve">severity</w:t>
      </w:r>
    </w:p>
    <w:bookmarkEnd w:id="26"/>
    <w:bookmarkStart w:id="27" w:name="ros-review-of-systems"/>
    <w:p>
      <w:pPr>
        <w:pStyle w:val="Heading3"/>
      </w:pPr>
      <w:r>
        <w:t xml:space="preserve">7.2 ROS (Review of Systems)</w:t>
      </w:r>
    </w:p>
    <w:p>
      <w:pPr>
        <w:pStyle w:val="Compact"/>
        <w:numPr>
          <w:ilvl w:val="0"/>
          <w:numId w:val="1007"/>
        </w:numPr>
      </w:pPr>
      <w:r>
        <w:t xml:space="preserve">cardiovascular</w:t>
      </w:r>
    </w:p>
    <w:p>
      <w:pPr>
        <w:pStyle w:val="Compact"/>
        <w:numPr>
          <w:ilvl w:val="0"/>
          <w:numId w:val="1007"/>
        </w:numPr>
      </w:pPr>
      <w:r>
        <w:t xml:space="preserve">respiratory</w:t>
      </w:r>
    </w:p>
    <w:p>
      <w:pPr>
        <w:pStyle w:val="Compact"/>
        <w:numPr>
          <w:ilvl w:val="0"/>
          <w:numId w:val="1007"/>
        </w:numPr>
      </w:pPr>
      <w:r>
        <w:t xml:space="preserve">neurologic</w:t>
      </w:r>
    </w:p>
    <w:p>
      <w:pPr>
        <w:pStyle w:val="Compact"/>
        <w:numPr>
          <w:ilvl w:val="0"/>
          <w:numId w:val="1007"/>
        </w:numPr>
      </w:pPr>
      <w:r>
        <w:t xml:space="preserve">gastrointestinal</w:t>
      </w:r>
    </w:p>
    <w:p>
      <w:pPr>
        <w:pStyle w:val="Compact"/>
        <w:numPr>
          <w:ilvl w:val="0"/>
          <w:numId w:val="1007"/>
        </w:numPr>
      </w:pPr>
      <w:r>
        <w:t xml:space="preserve">endocrine</w:t>
      </w:r>
    </w:p>
    <w:p>
      <w:pPr>
        <w:pStyle w:val="Compact"/>
        <w:numPr>
          <w:ilvl w:val="0"/>
          <w:numId w:val="1007"/>
        </w:numPr>
      </w:pPr>
      <w:r>
        <w:t xml:space="preserve">psychiatric</w:t>
      </w:r>
    </w:p>
    <w:p>
      <w:pPr>
        <w:pStyle w:val="Compact"/>
        <w:numPr>
          <w:ilvl w:val="0"/>
          <w:numId w:val="1007"/>
        </w:numPr>
      </w:pPr>
      <w:r>
        <w:t xml:space="preserve">other</w:t>
      </w:r>
    </w:p>
    <w:bookmarkEnd w:id="27"/>
    <w:bookmarkStart w:id="28" w:name="pmh-psh-fh-sh"/>
    <w:p>
      <w:pPr>
        <w:pStyle w:val="Heading3"/>
      </w:pPr>
      <w:r>
        <w:t xml:space="preserve">7.3 PMH / PSH / FH / SH</w:t>
      </w:r>
    </w:p>
    <w:p>
      <w:pPr>
        <w:pStyle w:val="Compact"/>
        <w:numPr>
          <w:ilvl w:val="0"/>
          <w:numId w:val="1008"/>
        </w:numPr>
      </w:pPr>
      <w:r>
        <w:t xml:space="preserve">past_medical_history</w:t>
      </w:r>
    </w:p>
    <w:p>
      <w:pPr>
        <w:pStyle w:val="Compact"/>
        <w:numPr>
          <w:ilvl w:val="0"/>
          <w:numId w:val="1008"/>
        </w:numPr>
      </w:pPr>
      <w:r>
        <w:t xml:space="preserve">past_surgical_history</w:t>
      </w:r>
    </w:p>
    <w:p>
      <w:pPr>
        <w:pStyle w:val="Compact"/>
        <w:numPr>
          <w:ilvl w:val="0"/>
          <w:numId w:val="1008"/>
        </w:numPr>
      </w:pPr>
      <w:r>
        <w:t xml:space="preserve">family_history</w:t>
      </w:r>
    </w:p>
    <w:p>
      <w:pPr>
        <w:pStyle w:val="Compact"/>
        <w:numPr>
          <w:ilvl w:val="0"/>
          <w:numId w:val="1008"/>
        </w:numPr>
      </w:pPr>
      <w:r>
        <w:t xml:space="preserve">social_history (smoking, alcohol, activity, work)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arrative-history-ärztlicher-fließtext"/>
    <w:p>
      <w:pPr>
        <w:pStyle w:val="Heading2"/>
      </w:pPr>
      <w:r>
        <w:t xml:space="preserve">8. Narrative History (ärztlicher Fließtext)</w:t>
      </w:r>
    </w:p>
    <w:p>
      <w:pPr>
        <w:pStyle w:val="Compact"/>
        <w:numPr>
          <w:ilvl w:val="0"/>
          <w:numId w:val="1009"/>
        </w:numPr>
      </w:pPr>
      <w:r>
        <w:t xml:space="preserve">automatisch generierte, strukturierte HPI</w:t>
      </w:r>
    </w:p>
    <w:p>
      <w:pPr>
        <w:pStyle w:val="Compact"/>
        <w:numPr>
          <w:ilvl w:val="0"/>
          <w:numId w:val="1009"/>
        </w:numPr>
      </w:pPr>
      <w:r>
        <w:t xml:space="preserve">zusammenhängender Text (arztbrief‑fähig)</w:t>
      </w:r>
    </w:p>
    <w:p>
      <w:pPr>
        <w:pStyle w:val="Compact"/>
        <w:numPr>
          <w:ilvl w:val="0"/>
          <w:numId w:val="1009"/>
        </w:numPr>
      </w:pPr>
      <w:r>
        <w:t xml:space="preserve">klare Trennung von Fakten vs. Unsicherheiten</w:t>
      </w:r>
    </w:p>
    <w:p>
      <w:r>
        <w:pict>
          <v:rect style="width:0;height:1.5pt" o:hralign="center" o:hrstd="t" o:hr="t"/>
        </w:pict>
      </w:r>
    </w:p>
    <w:bookmarkEnd w:id="30"/>
    <w:bookmarkStart w:id="31" w:name="symptombasierte-kurzanamnese"/>
    <w:p>
      <w:pPr>
        <w:pStyle w:val="Heading2"/>
      </w:pPr>
      <w:r>
        <w:t xml:space="preserve">9. Symptom‑basierte Kurzanamnese</w:t>
      </w:r>
    </w:p>
    <w:p>
      <w:pPr>
        <w:pStyle w:val="Compact"/>
        <w:numPr>
          <w:ilvl w:val="0"/>
          <w:numId w:val="1010"/>
        </w:numPr>
      </w:pPr>
      <w:r>
        <w:t xml:space="preserve">Leitsymptom</w:t>
      </w:r>
    </w:p>
    <w:p>
      <w:pPr>
        <w:pStyle w:val="Compact"/>
        <w:numPr>
          <w:ilvl w:val="0"/>
          <w:numId w:val="1010"/>
        </w:numPr>
      </w:pPr>
      <w:r>
        <w:t xml:space="preserve">Kernaussagen (≤ 5 Bulletpoints)</w:t>
      </w:r>
    </w:p>
    <w:p>
      <w:pPr>
        <w:pStyle w:val="Compact"/>
        <w:numPr>
          <w:ilvl w:val="0"/>
          <w:numId w:val="1010"/>
        </w:numPr>
      </w:pPr>
      <w:r>
        <w:t xml:space="preserve">zeitlicher Verlauf</w:t>
      </w:r>
    </w:p>
    <w:p>
      <w:pPr>
        <w:pStyle w:val="Compact"/>
        <w:numPr>
          <w:ilvl w:val="0"/>
          <w:numId w:val="1010"/>
        </w:numPr>
      </w:pPr>
      <w:r>
        <w:t xml:space="preserve">relevante Negativa</w:t>
      </w:r>
    </w:p>
    <w:p>
      <w:pPr>
        <w:pStyle w:val="Compact"/>
        <w:numPr>
          <w:ilvl w:val="0"/>
          <w:numId w:val="1010"/>
        </w:numPr>
      </w:pPr>
      <w:r>
        <w:t xml:space="preserve">aktuelle Dringlichkeit</w:t>
      </w:r>
    </w:p>
    <w:p>
      <w:pPr>
        <w:pStyle w:val="FirstParagraph"/>
      </w:pPr>
      <w:r>
        <w:t xml:space="preserve">➡️ ideal für Triage, Erstkontakt, Notfall‑Übergaben.</w:t>
      </w:r>
    </w:p>
    <w:p>
      <w:r>
        <w:pict>
          <v:rect style="width:0;height:1.5pt" o:hralign="center" o:hrstd="t" o:hr="t"/>
        </w:pict>
      </w:r>
    </w:p>
    <w:bookmarkEnd w:id="31"/>
    <w:bookmarkStart w:id="32" w:name="Xff2e97606c43df1b1af4960374f7489846d5f2a"/>
    <w:p>
      <w:pPr>
        <w:pStyle w:val="Heading2"/>
      </w:pPr>
      <w:r>
        <w:t xml:space="preserve">10. Hypothesen (intern, nicht patientensichtbar)</w:t>
      </w:r>
    </w:p>
    <w:p>
      <w:pPr>
        <w:pStyle w:val="FirstParagraph"/>
      </w:pPr>
      <w:r>
        <w:rPr>
          <w:b/>
          <w:bCs/>
        </w:rPr>
        <w:t xml:space="preserve">Hypothesis Object</w:t>
      </w:r>
      <w:r>
        <w:t xml:space="preserve"> </w:t>
      </w:r>
      <w:r>
        <w:t xml:space="preserve">- hypothesis_id</w:t>
      </w:r>
      <w:r>
        <w:t xml:space="preserve"> </w:t>
      </w:r>
      <w:r>
        <w:t xml:space="preserve">- domain_tags (cardio, neuro, endo, psych, etc.)</w:t>
      </w:r>
      <w:r>
        <w:t xml:space="preserve"> </w:t>
      </w:r>
      <w:r>
        <w:t xml:space="preserve">- evidence_supporting (list of evidence_ids)</w:t>
      </w:r>
      <w:r>
        <w:t xml:space="preserve"> </w:t>
      </w:r>
      <w:r>
        <w:t xml:space="preserve">- evidence_contradicting</w:t>
      </w:r>
      <w:r>
        <w:t xml:space="preserve"> </w:t>
      </w:r>
      <w:r>
        <w:t xml:space="preserve">- uncertainty_score</w:t>
      </w:r>
      <w:r>
        <w:t xml:space="preserve"> </w:t>
      </w:r>
      <w:r>
        <w:t xml:space="preserve">- safety_weight</w:t>
      </w:r>
      <w:r>
        <w:t xml:space="preserve"> </w:t>
      </w:r>
      <w:r>
        <w:t xml:space="preserve">- next_best_questions</w:t>
      </w:r>
    </w:p>
    <w:p>
      <w:pPr>
        <w:pStyle w:val="BlockText"/>
      </w:pPr>
      <w:r>
        <w:rPr>
          <w:b/>
          <w:bCs/>
        </w:rPr>
        <w:t xml:space="preserve">Wichtig:</w:t>
      </w:r>
      <w:r>
        <w:t xml:space="preserve"> </w:t>
      </w:r>
      <w:r>
        <w:t xml:space="preserve">keine Ausgabe als Diagnose.</w:t>
      </w:r>
    </w:p>
    <w:p>
      <w:r>
        <w:pict>
          <v:rect style="width:0;height:1.5pt" o:hralign="center" o:hrstd="t" o:hr="t"/>
        </w:pict>
      </w:r>
    </w:p>
    <w:bookmarkEnd w:id="32"/>
    <w:bookmarkStart w:id="33" w:name="red-flags-sicherheit"/>
    <w:p>
      <w:pPr>
        <w:pStyle w:val="Heading2"/>
      </w:pPr>
      <w:r>
        <w:t xml:space="preserve">11. Red Flags &amp; Sicherheit</w:t>
      </w:r>
    </w:p>
    <w:p>
      <w:pPr>
        <w:pStyle w:val="Compact"/>
        <w:numPr>
          <w:ilvl w:val="0"/>
          <w:numId w:val="1011"/>
        </w:numPr>
      </w:pPr>
      <w:r>
        <w:t xml:space="preserve">red_flag_present (yes/no)</w:t>
      </w:r>
    </w:p>
    <w:p>
      <w:pPr>
        <w:pStyle w:val="Compact"/>
        <w:numPr>
          <w:ilvl w:val="0"/>
          <w:numId w:val="1011"/>
        </w:numPr>
      </w:pPr>
      <w:r>
        <w:t xml:space="preserve">red_flag_type (domain‑specific)</w:t>
      </w:r>
    </w:p>
    <w:p>
      <w:pPr>
        <w:pStyle w:val="Compact"/>
        <w:numPr>
          <w:ilvl w:val="0"/>
          <w:numId w:val="1011"/>
        </w:numPr>
      </w:pPr>
      <w:r>
        <w:t xml:space="preserve">escalation_level (hard_stop | priority_review)</w:t>
      </w:r>
    </w:p>
    <w:p>
      <w:pPr>
        <w:pStyle w:val="Compact"/>
        <w:numPr>
          <w:ilvl w:val="0"/>
          <w:numId w:val="1011"/>
        </w:numPr>
      </w:pPr>
      <w:r>
        <w:t xml:space="preserve">rationale (evidence references)</w:t>
      </w:r>
    </w:p>
    <w:p>
      <w:r>
        <w:pict>
          <v:rect style="width:0;height:1.5pt" o:hralign="center" o:hrstd="t" o:hr="t"/>
        </w:pict>
      </w:r>
    </w:p>
    <w:bookmarkEnd w:id="33"/>
    <w:bookmarkStart w:id="34" w:name="open-questions"/>
    <w:p>
      <w:pPr>
        <w:pStyle w:val="Heading2"/>
      </w:pPr>
      <w:r>
        <w:t xml:space="preserve">12. Open Questions</w:t>
      </w:r>
    </w:p>
    <w:p>
      <w:pPr>
        <w:pStyle w:val="Compact"/>
        <w:numPr>
          <w:ilvl w:val="0"/>
          <w:numId w:val="1012"/>
        </w:numPr>
      </w:pPr>
      <w:r>
        <w:t xml:space="preserve">unanswered_key_questions</w:t>
      </w:r>
    </w:p>
    <w:p>
      <w:pPr>
        <w:pStyle w:val="Compact"/>
        <w:numPr>
          <w:ilvl w:val="0"/>
          <w:numId w:val="1012"/>
        </w:numPr>
      </w:pPr>
      <w:r>
        <w:t xml:space="preserve">inconsistencies_detected</w:t>
      </w:r>
    </w:p>
    <w:p>
      <w:pPr>
        <w:pStyle w:val="Compact"/>
        <w:numPr>
          <w:ilvl w:val="0"/>
          <w:numId w:val="1012"/>
        </w:numPr>
      </w:pPr>
      <w:r>
        <w:t xml:space="preserve">suggested_clarifications</w:t>
      </w:r>
    </w:p>
    <w:p>
      <w:pPr>
        <w:pStyle w:val="FirstParagraph"/>
      </w:pPr>
      <w:r>
        <w:t xml:space="preserve">➡️ expliziter Mehrwert für den Arzt.</w:t>
      </w:r>
    </w:p>
    <w:p>
      <w:r>
        <w:pict>
          <v:rect style="width:0;height:1.5pt" o:hralign="center" o:hrstd="t" o:hr="t"/>
        </w:pict>
      </w:r>
    </w:p>
    <w:bookmarkEnd w:id="34"/>
    <w:bookmarkStart w:id="35" w:name="routing-tags"/>
    <w:p>
      <w:pPr>
        <w:pStyle w:val="Heading2"/>
      </w:pPr>
      <w:r>
        <w:t xml:space="preserve">13. Routing Tags</w:t>
      </w:r>
    </w:p>
    <w:p>
      <w:pPr>
        <w:pStyle w:val="Compact"/>
        <w:numPr>
          <w:ilvl w:val="0"/>
          <w:numId w:val="1013"/>
        </w:numPr>
      </w:pPr>
      <w:r>
        <w:t xml:space="preserve">suggested_domains (one or more)</w:t>
      </w:r>
    </w:p>
    <w:p>
      <w:pPr>
        <w:pStyle w:val="Compact"/>
        <w:numPr>
          <w:ilvl w:val="0"/>
          <w:numId w:val="1013"/>
        </w:numPr>
      </w:pPr>
      <w:r>
        <w:t xml:space="preserve">urgency_class</w:t>
      </w:r>
    </w:p>
    <w:p>
      <w:pPr>
        <w:pStyle w:val="Compact"/>
        <w:numPr>
          <w:ilvl w:val="0"/>
          <w:numId w:val="1013"/>
        </w:numPr>
      </w:pPr>
      <w:r>
        <w:t xml:space="preserve">care_module_candidates (e.g. 7S‑Syncope, GP‑General)</w:t>
      </w:r>
    </w:p>
    <w:p>
      <w:r>
        <w:pict>
          <v:rect style="width:0;height:1.5pt" o:hralign="center" o:hrstd="t" o:hr="t"/>
        </w:pict>
      </w:r>
    </w:p>
    <w:bookmarkEnd w:id="35"/>
    <w:bookmarkStart w:id="36" w:name="quality-flags"/>
    <w:p>
      <w:pPr>
        <w:pStyle w:val="Heading2"/>
      </w:pPr>
      <w:r>
        <w:t xml:space="preserve">14. Quality Flags</w:t>
      </w:r>
    </w:p>
    <w:p>
      <w:pPr>
        <w:pStyle w:val="Compact"/>
        <w:numPr>
          <w:ilvl w:val="0"/>
          <w:numId w:val="1014"/>
        </w:numPr>
      </w:pPr>
      <w:r>
        <w:t xml:space="preserve">data_completeness_score</w:t>
      </w:r>
    </w:p>
    <w:p>
      <w:pPr>
        <w:pStyle w:val="Compact"/>
        <w:numPr>
          <w:ilvl w:val="0"/>
          <w:numId w:val="1014"/>
        </w:numPr>
      </w:pPr>
      <w:r>
        <w:t xml:space="preserve">confidence_level</w:t>
      </w:r>
    </w:p>
    <w:p>
      <w:pPr>
        <w:pStyle w:val="Compact"/>
        <w:numPr>
          <w:ilvl w:val="0"/>
          <w:numId w:val="1014"/>
        </w:numPr>
      </w:pPr>
      <w:r>
        <w:t xml:space="preserve">contradictions_present</w:t>
      </w:r>
    </w:p>
    <w:p>
      <w:pPr>
        <w:pStyle w:val="Compact"/>
        <w:numPr>
          <w:ilvl w:val="0"/>
          <w:numId w:val="1014"/>
        </w:numPr>
      </w:pPr>
      <w:r>
        <w:t xml:space="preserve">recommended_additional_data (labs, monitoring)</w:t>
      </w:r>
    </w:p>
    <w:p>
      <w:r>
        <w:pict>
          <v:rect style="width:0;height:1.5pt" o:hralign="center" o:hrstd="t" o:hr="t"/>
        </w:pict>
      </w:r>
    </w:p>
    <w:bookmarkEnd w:id="36"/>
    <w:bookmarkStart w:id="37" w:name="übergabe-nutzung"/>
    <w:p>
      <w:pPr>
        <w:pStyle w:val="Heading2"/>
      </w:pPr>
      <w:r>
        <w:t xml:space="preserve">15. Übergabe &amp; Nutzung</w:t>
      </w:r>
    </w:p>
    <w:p>
      <w:pPr>
        <w:pStyle w:val="Compact"/>
        <w:numPr>
          <w:ilvl w:val="0"/>
          <w:numId w:val="1015"/>
        </w:numPr>
      </w:pPr>
      <w:r>
        <w:t xml:space="preserve">Übergabe an Care‑Module nur nach clinician_signoff</w:t>
      </w:r>
    </w:p>
    <w:p>
      <w:pPr>
        <w:pStyle w:val="Compact"/>
        <w:numPr>
          <w:ilvl w:val="0"/>
          <w:numId w:val="1015"/>
        </w:numPr>
      </w:pPr>
      <w:r>
        <w:t xml:space="preserve">Export:</w:t>
      </w:r>
    </w:p>
    <w:p>
      <w:pPr>
        <w:pStyle w:val="Compact"/>
        <w:numPr>
          <w:ilvl w:val="1"/>
          <w:numId w:val="1016"/>
        </w:numPr>
      </w:pPr>
      <w:r>
        <w:t xml:space="preserve">FHIR resources</w:t>
      </w:r>
    </w:p>
    <w:p>
      <w:pPr>
        <w:pStyle w:val="Compact"/>
        <w:numPr>
          <w:ilvl w:val="1"/>
          <w:numId w:val="1016"/>
        </w:numPr>
      </w:pPr>
      <w:r>
        <w:t xml:space="preserve">PDF summary</w:t>
      </w:r>
    </w:p>
    <w:p>
      <w:pPr>
        <w:pStyle w:val="Compact"/>
        <w:numPr>
          <w:ilvl w:val="1"/>
          <w:numId w:val="1016"/>
        </w:numPr>
      </w:pPr>
      <w:r>
        <w:t xml:space="preserve">API JSON</w:t>
      </w:r>
    </w:p>
    <w:p>
      <w:r>
        <w:pict>
          <v:rect style="width:0;height:1.5pt" o:hralign="center" o:hrstd="t" o:hr="t"/>
        </w:pict>
      </w:r>
    </w:p>
    <w:bookmarkEnd w:id="37"/>
    <w:bookmarkStart w:id="38" w:name="nichtziele-klar-ausgeschlossen"/>
    <w:p>
      <w:pPr>
        <w:pStyle w:val="Heading2"/>
      </w:pPr>
      <w:r>
        <w:t xml:space="preserve">16. Nicht‑Ziele (klar ausgeschlossen)</w:t>
      </w:r>
    </w:p>
    <w:p>
      <w:pPr>
        <w:pStyle w:val="Compact"/>
        <w:numPr>
          <w:ilvl w:val="0"/>
          <w:numId w:val="1017"/>
        </w:numPr>
      </w:pPr>
      <w:r>
        <w:t xml:space="preserve">automatische Diagnose</w:t>
      </w:r>
    </w:p>
    <w:p>
      <w:pPr>
        <w:pStyle w:val="Compact"/>
        <w:numPr>
          <w:ilvl w:val="0"/>
          <w:numId w:val="1017"/>
        </w:numPr>
      </w:pPr>
      <w:r>
        <w:t xml:space="preserve">Therapie‑ oder Medikationsvorschläge</w:t>
      </w:r>
    </w:p>
    <w:p>
      <w:pPr>
        <w:pStyle w:val="Compact"/>
        <w:numPr>
          <w:ilvl w:val="0"/>
          <w:numId w:val="1017"/>
        </w:numPr>
      </w:pPr>
      <w:r>
        <w:t xml:space="preserve">Abrechnung / Pricing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Canvas v1 – bereit für API‑Design &amp; Implementierung</w:t>
      </w:r>
      <w:r>
        <w:br/>
      </w:r>
      <w:r>
        <w:rPr>
          <w:b/>
          <w:bCs/>
        </w:rPr>
        <w:t xml:space="preserve">Nächster Schritt:</w:t>
      </w:r>
      <w:r>
        <w:t xml:space="preserve"> </w:t>
      </w:r>
      <w:r>
        <w:t xml:space="preserve">Reasoning Canvas – Hypothesen &amp; Unsicherheit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2026-02-09T12:20:17Z</dcterms:created>
  <dcterms:modified xsi:type="dcterms:W3CDTF">2026-02-09T12:20:17Z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