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cre-intake-suite-scope-grenzen-canvas-v1"/>
    <w:p>
      <w:pPr>
        <w:pStyle w:val="Heading1"/>
      </w:pPr>
      <w:r>
        <w:t xml:space="preserve">🧠 CRE INTAKE SUITE – SCOPE &amp; GRENZEN (CANVAS v1)</w:t>
      </w:r>
    </w:p>
    <w:p>
      <w:pPr>
        <w:pStyle w:val="BlockText"/>
      </w:pPr>
      <w:r>
        <w:t xml:space="preserve">Zweck dieses Canvas:</w:t>
      </w:r>
      <w:r>
        <w:t xml:space="preserve"> </w:t>
      </w:r>
      <w:r>
        <w:rPr>
          <w:b/>
          <w:bCs/>
        </w:rPr>
        <w:t xml:space="preserve">klare, gemeinsame Definition</w:t>
      </w:r>
      <w:r>
        <w:t xml:space="preserve">, was die Clinical Reasoning Engine (CRE) im Intake-/Onboarding-Kontext</w:t>
      </w:r>
      <w:r>
        <w:t xml:space="preserve"> </w:t>
      </w:r>
      <w:r>
        <w:rPr>
          <w:b/>
          <w:bCs/>
        </w:rPr>
        <w:t xml:space="preserve">ist</w:t>
      </w:r>
      <w:r>
        <w:t xml:space="preserve"> </w:t>
      </w:r>
      <w:r>
        <w:t xml:space="preserve">– und was</w:t>
      </w:r>
      <w:r>
        <w:t xml:space="preserve"> </w:t>
      </w:r>
      <w:r>
        <w:rPr>
          <w:b/>
          <w:bCs/>
        </w:rPr>
        <w:t xml:space="preserve">nicht</w:t>
      </w:r>
      <w:r>
        <w:t xml:space="preserve">.</w:t>
      </w:r>
      <w:r>
        <w:br/>
      </w:r>
      <w:r>
        <w:t xml:space="preserve">Zielgruppe: Medizin · Produkt · Software-Architektur · Regulatorik.</w:t>
      </w:r>
    </w:p>
    <w:p>
      <w:r>
        <w:pict>
          <v:rect style="width:0;height:1.5pt" o:hralign="center" o:hrstd="t" o:hr="t"/>
        </w:pict>
      </w:r>
    </w:p>
    <w:bookmarkStart w:id="20" w:name="medizinischer-zweck-why"/>
    <w:p>
      <w:pPr>
        <w:pStyle w:val="Heading2"/>
      </w:pPr>
      <w:r>
        <w:t xml:space="preserve">1. Medizinischer Zweck (WHY)</w:t>
      </w:r>
    </w:p>
    <w:p>
      <w:pPr>
        <w:pStyle w:val="FirstParagraph"/>
      </w:pPr>
      <w:r>
        <w:t xml:space="preserve">Die</w:t>
      </w:r>
      <w:r>
        <w:t xml:space="preserve"> </w:t>
      </w:r>
      <w:r>
        <w:rPr>
          <w:b/>
          <w:bCs/>
        </w:rPr>
        <w:t xml:space="preserve">CRE Intake Suite</w:t>
      </w:r>
      <w:r>
        <w:t xml:space="preserve"> </w:t>
      </w:r>
      <w:r>
        <w:t xml:space="preserve">dient der</w:t>
      </w:r>
      <w:r>
        <w:t xml:space="preserve"> </w:t>
      </w:r>
      <w:r>
        <w:rPr>
          <w:b/>
          <w:bCs/>
        </w:rPr>
        <w:t xml:space="preserve">hochqualitativen, propädeutisch korrekten Erhebung und Strukturierung medizinischer Informationen</w:t>
      </w:r>
      <w:r>
        <w:t xml:space="preserve">.</w:t>
      </w:r>
    </w:p>
    <w:p>
      <w:pPr>
        <w:pStyle w:val="BodyText"/>
      </w:pPr>
      <w:r>
        <w:t xml:space="preserve">Sie unterstützt ärztliches Denken,</w:t>
      </w:r>
      <w:r>
        <w:t xml:space="preserve"> </w:t>
      </w:r>
      <w:r>
        <w:rPr>
          <w:b/>
          <w:bCs/>
        </w:rPr>
        <w:t xml:space="preserve">ersetzt es nicht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Primäre Ziele:</w:t>
      </w:r>
      <w:r>
        <w:t xml:space="preserve"> </w:t>
      </w:r>
      <w:r>
        <w:t xml:space="preserve">- strukturierte, reproduzierbare Anamnese</w:t>
      </w:r>
      <w:r>
        <w:t xml:space="preserve"> </w:t>
      </w:r>
      <w:r>
        <w:t xml:space="preserve">- symptombasierte Kurzanamnese</w:t>
      </w:r>
      <w:r>
        <w:t xml:space="preserve"> </w:t>
      </w:r>
      <w:r>
        <w:t xml:space="preserve">- sichere Erkennung kritischer Konstellationen (Red Flags)</w:t>
      </w:r>
      <w:r>
        <w:t xml:space="preserve"> </w:t>
      </w:r>
      <w:r>
        <w:t xml:space="preserve">- Vorbereitung ärztlicher Entscheidungen</w:t>
      </w:r>
      <w:r>
        <w:t xml:space="preserve"> </w:t>
      </w:r>
      <w:r>
        <w:t xml:space="preserve">- fachübergreifende Einsetzbarkeit</w:t>
      </w:r>
    </w:p>
    <w:p>
      <w:r>
        <w:pict>
          <v:rect style="width:0;height:1.5pt" o:hralign="center" o:hrstd="t" o:hr="t"/>
        </w:pict>
      </w:r>
    </w:p>
    <w:bookmarkEnd w:id="20"/>
    <w:bookmarkStart w:id="26" w:name="klinischer-funktionsumfang-what-in-scope"/>
    <w:p>
      <w:pPr>
        <w:pStyle w:val="Heading2"/>
      </w:pPr>
      <w:r>
        <w:t xml:space="preserve">2. Klinischer Funktionsumfang (WHAT – IN SCOPE)</w:t>
      </w:r>
    </w:p>
    <w:bookmarkStart w:id="21" w:name="anamnese-ingestion"/>
    <w:p>
      <w:pPr>
        <w:pStyle w:val="Heading3"/>
      </w:pPr>
      <w:r>
        <w:t xml:space="preserve">2.1 Anamnese &amp; Ingestion</w:t>
      </w:r>
    </w:p>
    <w:p>
      <w:pPr>
        <w:pStyle w:val="Compact"/>
        <w:numPr>
          <w:ilvl w:val="0"/>
          <w:numId w:val="1001"/>
        </w:numPr>
      </w:pPr>
      <w:r>
        <w:t xml:space="preserve">strukturierte Leitsymptom-Erhebung</w:t>
      </w:r>
    </w:p>
    <w:p>
      <w:pPr>
        <w:pStyle w:val="Compact"/>
        <w:numPr>
          <w:ilvl w:val="0"/>
          <w:numId w:val="1001"/>
        </w:numPr>
      </w:pPr>
      <w:r>
        <w:t xml:space="preserve">zeitliche Einordnung (Onset, Verlauf, Progression)</w:t>
      </w:r>
    </w:p>
    <w:p>
      <w:pPr>
        <w:pStyle w:val="Compact"/>
        <w:numPr>
          <w:ilvl w:val="0"/>
          <w:numId w:val="1001"/>
        </w:numPr>
      </w:pPr>
      <w:r>
        <w:t xml:space="preserve">Trigger- und Linderungsfaktoren</w:t>
      </w:r>
    </w:p>
    <w:p>
      <w:pPr>
        <w:pStyle w:val="Compact"/>
        <w:numPr>
          <w:ilvl w:val="0"/>
          <w:numId w:val="1001"/>
        </w:numPr>
      </w:pPr>
      <w:r>
        <w:t xml:space="preserve">Begleit- und Systemsymptome (ROS)</w:t>
      </w:r>
    </w:p>
    <w:p>
      <w:pPr>
        <w:pStyle w:val="Compact"/>
        <w:numPr>
          <w:ilvl w:val="0"/>
          <w:numId w:val="1001"/>
        </w:numPr>
      </w:pPr>
      <w:r>
        <w:t xml:space="preserve">relevante Vor- und Begleiterkrankungen</w:t>
      </w:r>
    </w:p>
    <w:p>
      <w:pPr>
        <w:pStyle w:val="Compact"/>
        <w:numPr>
          <w:ilvl w:val="0"/>
          <w:numId w:val="1001"/>
        </w:numPr>
      </w:pPr>
      <w:r>
        <w:t xml:space="preserve">Medikation, Allergien, Familien- &amp; Sozialanamnese</w:t>
      </w:r>
    </w:p>
    <w:p>
      <w:r>
        <w:pict>
          <v:rect style="width:0;height:1.5pt" o:hralign="center" o:hrstd="t" o:hr="t"/>
        </w:pict>
      </w:r>
    </w:p>
    <w:bookmarkEnd w:id="21"/>
    <w:bookmarkStart w:id="22" w:name="multimodale-erhebungsmodi"/>
    <w:p>
      <w:pPr>
        <w:pStyle w:val="Heading3"/>
      </w:pPr>
      <w:r>
        <w:t xml:space="preserve">2.2 Multimodale Erhebungsmodi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Active Interview</w:t>
      </w:r>
      <w:r>
        <w:t xml:space="preserve"> </w:t>
      </w:r>
      <w:r>
        <w:t xml:space="preserve">(Text, Sprache, Video)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Asynchrones Intake</w:t>
      </w:r>
      <w:r>
        <w:t xml:space="preserve"> </w:t>
      </w:r>
      <w:r>
        <w:t xml:space="preserve">(Etappen, Uploads)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Passiver Zuhörer</w:t>
      </w:r>
      <w:r>
        <w:t xml:space="preserve"> </w:t>
      </w:r>
      <w:r>
        <w:t xml:space="preserve">bei Arzt-Patienten-Interaktion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Dokumenten-Ingestion</w:t>
      </w:r>
      <w:r>
        <w:t xml:space="preserve"> </w:t>
      </w:r>
      <w:r>
        <w:t xml:space="preserve">(Arztbriefe, Befunde, Labor)</w:t>
      </w:r>
    </w:p>
    <w:p>
      <w:r>
        <w:pict>
          <v:rect style="width:0;height:1.5pt" o:hralign="center" o:hrstd="t" o:hr="t"/>
        </w:pict>
      </w:r>
    </w:p>
    <w:bookmarkEnd w:id="22"/>
    <w:bookmarkStart w:id="23" w:name="klinische-strukturierung"/>
    <w:p>
      <w:pPr>
        <w:pStyle w:val="Heading3"/>
      </w:pPr>
      <w:r>
        <w:t xml:space="preserve">2.3 Klinische Strukturierung</w:t>
      </w:r>
    </w:p>
    <w:p>
      <w:pPr>
        <w:pStyle w:val="Compact"/>
        <w:numPr>
          <w:ilvl w:val="0"/>
          <w:numId w:val="1003"/>
        </w:numPr>
      </w:pPr>
      <w:r>
        <w:t xml:space="preserve">Normalisierung freier Sprache in medizinische Entitäten</w:t>
      </w:r>
    </w:p>
    <w:p>
      <w:pPr>
        <w:pStyle w:val="Compact"/>
        <w:numPr>
          <w:ilvl w:val="0"/>
          <w:numId w:val="1003"/>
        </w:numPr>
      </w:pPr>
      <w:r>
        <w:t xml:space="preserve">Erstellung einer</w:t>
      </w:r>
      <w:r>
        <w:t xml:space="preserve"> </w:t>
      </w:r>
      <w:r>
        <w:rPr>
          <w:b/>
          <w:bCs/>
        </w:rPr>
        <w:t xml:space="preserve">narrativen Anamnese</w:t>
      </w:r>
      <w:r>
        <w:t xml:space="preserve"> </w:t>
      </w:r>
      <w:r>
        <w:t xml:space="preserve">(HPI + Gesamtanamnese)</w:t>
      </w:r>
    </w:p>
    <w:p>
      <w:pPr>
        <w:pStyle w:val="Compact"/>
        <w:numPr>
          <w:ilvl w:val="0"/>
          <w:numId w:val="1003"/>
        </w:numPr>
      </w:pPr>
      <w:r>
        <w:t xml:space="preserve">Erstellung einer</w:t>
      </w:r>
      <w:r>
        <w:t xml:space="preserve"> </w:t>
      </w:r>
      <w:r>
        <w:rPr>
          <w:b/>
          <w:bCs/>
        </w:rPr>
        <w:t xml:space="preserve">strukturierten Anamnese</w:t>
      </w:r>
      <w:r>
        <w:t xml:space="preserve"> </w:t>
      </w:r>
      <w:r>
        <w:t xml:space="preserve">(maschinenlesbar)</w:t>
      </w:r>
    </w:p>
    <w:p>
      <w:pPr>
        <w:pStyle w:val="Compact"/>
        <w:numPr>
          <w:ilvl w:val="0"/>
          <w:numId w:val="1003"/>
        </w:numPr>
      </w:pPr>
      <w:r>
        <w:t xml:space="preserve">Erstellung einer</w:t>
      </w:r>
      <w:r>
        <w:t xml:space="preserve"> </w:t>
      </w:r>
      <w:r>
        <w:rPr>
          <w:b/>
          <w:bCs/>
        </w:rPr>
        <w:t xml:space="preserve">symptombasierten Kurzanamnese</w:t>
      </w:r>
    </w:p>
    <w:p>
      <w:r>
        <w:pict>
          <v:rect style="width:0;height:1.5pt" o:hralign="center" o:hrstd="t" o:hr="t"/>
        </w:pict>
      </w:r>
    </w:p>
    <w:bookmarkEnd w:id="23"/>
    <w:bookmarkStart w:id="24" w:name="hypothesenfunktion-intern"/>
    <w:p>
      <w:pPr>
        <w:pStyle w:val="Heading3"/>
      </w:pPr>
      <w:r>
        <w:t xml:space="preserve">2.4 Hypothesenfunktion (intern)</w:t>
      </w:r>
    </w:p>
    <w:p>
      <w:pPr>
        <w:pStyle w:val="BlockText"/>
      </w:pPr>
      <w:r>
        <w:t xml:space="preserve">Hypothesen dienen</w:t>
      </w:r>
      <w:r>
        <w:t xml:space="preserve"> </w:t>
      </w:r>
      <w:r>
        <w:rPr>
          <w:b/>
          <w:bCs/>
        </w:rPr>
        <w:t xml:space="preserve">ausschließlich der internen Strukturierung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Generierung möglicher Erklärungsmodelle (fachübergreifend)</w:t>
      </w:r>
    </w:p>
    <w:p>
      <w:pPr>
        <w:pStyle w:val="Compact"/>
        <w:numPr>
          <w:ilvl w:val="0"/>
          <w:numId w:val="1004"/>
        </w:numPr>
      </w:pPr>
      <w:r>
        <w:t xml:space="preserve">Gewichtung nach Evidenz, Unsicherheit und Sicherheit</w:t>
      </w:r>
    </w:p>
    <w:p>
      <w:pPr>
        <w:pStyle w:val="Compact"/>
        <w:numPr>
          <w:ilvl w:val="0"/>
          <w:numId w:val="1004"/>
        </w:numPr>
      </w:pPr>
      <w:r>
        <w:t xml:space="preserve">Ableitung gezielter Nachfragen</w:t>
      </w:r>
    </w:p>
    <w:p>
      <w:pPr>
        <w:pStyle w:val="Compact"/>
        <w:numPr>
          <w:ilvl w:val="0"/>
          <w:numId w:val="1004"/>
        </w:numPr>
      </w:pPr>
      <w:r>
        <w:t xml:space="preserve">Identifikation widersprüchlicher Informationen</w:t>
      </w:r>
    </w:p>
    <w:p>
      <w:pPr>
        <w:pStyle w:val="FirstParagraph"/>
      </w:pPr>
      <w:r>
        <w:rPr>
          <w:b/>
          <w:bCs/>
        </w:rPr>
        <w:t xml:space="preserve">Wichtig:</w:t>
      </w:r>
      <w:r>
        <w:t xml:space="preserve"> </w:t>
      </w:r>
      <w:r>
        <w:t xml:space="preserve">- keine Hypothesen werden als Diagnose ausgegeben</w:t>
      </w:r>
      <w:r>
        <w:t xml:space="preserve"> </w:t>
      </w:r>
      <w:r>
        <w:t xml:space="preserve">- Hypothesen sind für den Patienten nicht sichtbar</w:t>
      </w:r>
    </w:p>
    <w:p>
      <w:r>
        <w:pict>
          <v:rect style="width:0;height:1.5pt" o:hralign="center" o:hrstd="t" o:hr="t"/>
        </w:pict>
      </w:r>
    </w:p>
    <w:bookmarkEnd w:id="24"/>
    <w:bookmarkStart w:id="25" w:name="red-flag-sicherheitslogik"/>
    <w:p>
      <w:pPr>
        <w:pStyle w:val="Heading3"/>
      </w:pPr>
      <w:r>
        <w:t xml:space="preserve">2.5 Red-Flag &amp; Sicherheitslogik</w:t>
      </w:r>
    </w:p>
    <w:p>
      <w:pPr>
        <w:pStyle w:val="Compact"/>
        <w:numPr>
          <w:ilvl w:val="0"/>
          <w:numId w:val="1005"/>
        </w:numPr>
      </w:pPr>
      <w:r>
        <w:t xml:space="preserve">domänenübergreifende Red-Flag-Erkennung</w:t>
      </w:r>
    </w:p>
    <w:p>
      <w:pPr>
        <w:pStyle w:val="Compact"/>
        <w:numPr>
          <w:ilvl w:val="0"/>
          <w:numId w:val="1005"/>
        </w:numPr>
      </w:pPr>
      <w:r>
        <w:t xml:space="preserve">Eskalationsregeln:</w:t>
      </w:r>
    </w:p>
    <w:p>
      <w:pPr>
        <w:pStyle w:val="Compact"/>
        <w:numPr>
          <w:ilvl w:val="1"/>
          <w:numId w:val="1006"/>
        </w:numPr>
      </w:pPr>
      <w:r>
        <w:t xml:space="preserve">Hard Stop (Abbruch rein digitaler Nutzung)</w:t>
      </w:r>
    </w:p>
    <w:p>
      <w:pPr>
        <w:pStyle w:val="Compact"/>
        <w:numPr>
          <w:ilvl w:val="1"/>
          <w:numId w:val="1006"/>
        </w:numPr>
      </w:pPr>
      <w:r>
        <w:t xml:space="preserve">Priority Review (ärztliche Prüfung erforderlich)</w:t>
      </w:r>
    </w:p>
    <w:p>
      <w:pPr>
        <w:pStyle w:val="Compact"/>
        <w:numPr>
          <w:ilvl w:val="0"/>
          <w:numId w:val="1005"/>
        </w:numPr>
      </w:pPr>
      <w:r>
        <w:t xml:space="preserve">Dokumentation der Sicherheitsentscheidung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X344ff1829c3e982f9b638ebc2f89a82df74181c"/>
    <w:p>
      <w:pPr>
        <w:pStyle w:val="Heading2"/>
      </w:pPr>
      <w:r>
        <w:t xml:space="preserve">3. Outputs der CRE Intake Suite (DELIVERABLES)</w:t>
      </w:r>
    </w:p>
    <w:bookmarkStart w:id="27" w:name="ärztliche-outputs"/>
    <w:p>
      <w:pPr>
        <w:pStyle w:val="Heading3"/>
      </w:pPr>
      <w:r>
        <w:t xml:space="preserve">3.1 Ärztliche Outputs</w:t>
      </w:r>
    </w:p>
    <w:p>
      <w:pPr>
        <w:pStyle w:val="Compact"/>
        <w:numPr>
          <w:ilvl w:val="0"/>
          <w:numId w:val="1007"/>
        </w:numPr>
      </w:pPr>
      <w:r>
        <w:t xml:space="preserve">vollständige strukturierte Anamnese</w:t>
      </w:r>
    </w:p>
    <w:p>
      <w:pPr>
        <w:pStyle w:val="Compact"/>
        <w:numPr>
          <w:ilvl w:val="0"/>
          <w:numId w:val="1007"/>
        </w:numPr>
      </w:pPr>
      <w:r>
        <w:t xml:space="preserve">narrative Anamnese (Fließtext)</w:t>
      </w:r>
    </w:p>
    <w:p>
      <w:pPr>
        <w:pStyle w:val="Compact"/>
        <w:numPr>
          <w:ilvl w:val="0"/>
          <w:numId w:val="1007"/>
        </w:numPr>
      </w:pPr>
      <w:r>
        <w:t xml:space="preserve">symptombasierte Kurzanamnese</w:t>
      </w:r>
    </w:p>
    <w:p>
      <w:pPr>
        <w:pStyle w:val="Compact"/>
        <w:numPr>
          <w:ilvl w:val="0"/>
          <w:numId w:val="1007"/>
        </w:numPr>
      </w:pPr>
      <w:r>
        <w:t xml:space="preserve">Liste offener Fragen / Unsicherheiten</w:t>
      </w:r>
    </w:p>
    <w:p>
      <w:pPr>
        <w:pStyle w:val="Compact"/>
        <w:numPr>
          <w:ilvl w:val="0"/>
          <w:numId w:val="1007"/>
        </w:numPr>
      </w:pPr>
      <w:r>
        <w:t xml:space="preserve">Red-Flag-Hinweise</w:t>
      </w:r>
    </w:p>
    <w:bookmarkEnd w:id="27"/>
    <w:bookmarkStart w:id="28" w:name="systemische-outputs"/>
    <w:p>
      <w:pPr>
        <w:pStyle w:val="Heading3"/>
      </w:pPr>
      <w:r>
        <w:t xml:space="preserve">3.2 Systemische Outputs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Clinical Intake Package</w:t>
      </w:r>
      <w:r>
        <w:t xml:space="preserve"> </w:t>
      </w:r>
      <w:r>
        <w:t xml:space="preserve">(maschinenlesbar, FHIR-ready)</w:t>
      </w:r>
    </w:p>
    <w:p>
      <w:pPr>
        <w:pStyle w:val="Compact"/>
        <w:numPr>
          <w:ilvl w:val="0"/>
          <w:numId w:val="1008"/>
        </w:numPr>
      </w:pPr>
      <w:r>
        <w:t xml:space="preserve">Routing-Tags (Fachdomäne, Versorgungspfad)</w:t>
      </w:r>
    </w:p>
    <w:p>
      <w:pPr>
        <w:pStyle w:val="Compact"/>
        <w:numPr>
          <w:ilvl w:val="0"/>
          <w:numId w:val="1008"/>
        </w:numPr>
      </w:pPr>
      <w:r>
        <w:t xml:space="preserve">Audit- &amp; Versionsmetadaten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de3beac68f8fef0fbdcefcc3cd2e71bafb38ff5"/>
    <w:p>
      <w:pPr>
        <w:pStyle w:val="Heading2"/>
      </w:pPr>
      <w:r>
        <w:t xml:space="preserve">4. Was explizit NICHT Teil der CRE ist (OUT OF SCOPE)</w:t>
      </w:r>
    </w:p>
    <w:p>
      <w:pPr>
        <w:pStyle w:val="Compact"/>
        <w:numPr>
          <w:ilvl w:val="0"/>
          <w:numId w:val="1009"/>
        </w:numPr>
      </w:pPr>
      <w:r>
        <w:t xml:space="preserve">Diagnosestellung (keine ICD-Zuweisung)</w:t>
      </w:r>
    </w:p>
    <w:p>
      <w:pPr>
        <w:pStyle w:val="Compact"/>
        <w:numPr>
          <w:ilvl w:val="0"/>
          <w:numId w:val="1009"/>
        </w:numPr>
      </w:pPr>
      <w:r>
        <w:t xml:space="preserve">Therapieempfehlungen oder -änderungen</w:t>
      </w:r>
    </w:p>
    <w:p>
      <w:pPr>
        <w:pStyle w:val="Compact"/>
        <w:numPr>
          <w:ilvl w:val="0"/>
          <w:numId w:val="1009"/>
        </w:numPr>
      </w:pPr>
      <w:r>
        <w:t xml:space="preserve">Medikationsanpassungen</w:t>
      </w:r>
    </w:p>
    <w:p>
      <w:pPr>
        <w:pStyle w:val="Compact"/>
        <w:numPr>
          <w:ilvl w:val="0"/>
          <w:numId w:val="1009"/>
        </w:numPr>
      </w:pPr>
      <w:r>
        <w:t xml:space="preserve">Verlaufs- oder Langzeitbetreuung</w:t>
      </w:r>
    </w:p>
    <w:p>
      <w:pPr>
        <w:pStyle w:val="Compact"/>
        <w:numPr>
          <w:ilvl w:val="0"/>
          <w:numId w:val="1009"/>
        </w:numPr>
      </w:pPr>
      <w:r>
        <w:t xml:space="preserve">Abrechnung / Pricing / Tiers</w:t>
      </w:r>
    </w:p>
    <w:p>
      <w:r>
        <w:pict>
          <v:rect style="width:0;height:1.5pt" o:hralign="center" o:hrstd="t" o:hr="t"/>
        </w:pict>
      </w:r>
    </w:p>
    <w:bookmarkEnd w:id="30"/>
    <w:bookmarkStart w:id="31" w:name="human-in-the-loop-human-in-the-lead"/>
    <w:p>
      <w:pPr>
        <w:pStyle w:val="Heading2"/>
      </w:pPr>
      <w:r>
        <w:t xml:space="preserve">5. Human-in-the-Loop / Human-in-the-Lead</w:t>
      </w:r>
    </w:p>
    <w:p>
      <w:pPr>
        <w:pStyle w:val="Compact"/>
        <w:numPr>
          <w:ilvl w:val="0"/>
          <w:numId w:val="1010"/>
        </w:numPr>
      </w:pPr>
      <w:r>
        <w:t xml:space="preserve">alle Outputs sind initial</w:t>
      </w:r>
      <w:r>
        <w:t xml:space="preserve"> </w:t>
      </w:r>
      <w:r>
        <w:rPr>
          <w:b/>
          <w:bCs/>
        </w:rPr>
        <w:t xml:space="preserve">Draft</w:t>
      </w:r>
    </w:p>
    <w:p>
      <w:pPr>
        <w:pStyle w:val="Compact"/>
        <w:numPr>
          <w:ilvl w:val="0"/>
          <w:numId w:val="1010"/>
        </w:numPr>
      </w:pPr>
      <w:r>
        <w:t xml:space="preserve">ärztliche Prüfung erforderlich für:</w:t>
      </w:r>
    </w:p>
    <w:p>
      <w:pPr>
        <w:pStyle w:val="Compact"/>
        <w:numPr>
          <w:ilvl w:val="1"/>
          <w:numId w:val="1011"/>
        </w:numPr>
      </w:pPr>
      <w:r>
        <w:t xml:space="preserve">Nutzung als klinisches Dokument</w:t>
      </w:r>
    </w:p>
    <w:p>
      <w:pPr>
        <w:pStyle w:val="Compact"/>
        <w:numPr>
          <w:ilvl w:val="1"/>
          <w:numId w:val="1011"/>
        </w:numPr>
      </w:pPr>
      <w:r>
        <w:t xml:space="preserve">Weiterleitung in Care-Module</w:t>
      </w:r>
    </w:p>
    <w:p>
      <w:pPr>
        <w:pStyle w:val="Compact"/>
        <w:numPr>
          <w:ilvl w:val="0"/>
          <w:numId w:val="1010"/>
        </w:numPr>
      </w:pPr>
      <w:r>
        <w:t xml:space="preserve">Sign-off-Status klar dokumentiert</w:t>
      </w:r>
    </w:p>
    <w:p>
      <w:r>
        <w:pict>
          <v:rect style="width:0;height:1.5pt" o:hralign="center" o:hrstd="t" o:hr="t"/>
        </w:pict>
      </w:r>
    </w:p>
    <w:bookmarkEnd w:id="31"/>
    <w:bookmarkStart w:id="32" w:name="regulatorische-einordnung-high-level"/>
    <w:p>
      <w:pPr>
        <w:pStyle w:val="Heading2"/>
      </w:pPr>
      <w:r>
        <w:t xml:space="preserve">6. Regulatorische Einordnung (high level)</w:t>
      </w:r>
    </w:p>
    <w:p>
      <w:pPr>
        <w:pStyle w:val="Compact"/>
        <w:numPr>
          <w:ilvl w:val="0"/>
          <w:numId w:val="1012"/>
        </w:numPr>
      </w:pPr>
      <w:r>
        <w:t xml:space="preserve">Decision Support, keine autonome Entscheidung</w:t>
      </w:r>
    </w:p>
    <w:p>
      <w:pPr>
        <w:pStyle w:val="Compact"/>
        <w:numPr>
          <w:ilvl w:val="0"/>
          <w:numId w:val="1012"/>
        </w:numPr>
      </w:pPr>
      <w:r>
        <w:t xml:space="preserve">Dokumentations- &amp; Strukturierungssystem</w:t>
      </w:r>
    </w:p>
    <w:p>
      <w:pPr>
        <w:pStyle w:val="Compact"/>
        <w:numPr>
          <w:ilvl w:val="0"/>
          <w:numId w:val="1012"/>
        </w:numPr>
      </w:pPr>
      <w:r>
        <w:t xml:space="preserve">Patientensicherheit durch Red-Flag-Eskalation</w:t>
      </w:r>
    </w:p>
    <w:p>
      <w:r>
        <w:pict>
          <v:rect style="width:0;height:1.5pt" o:hralign="center" o:hrstd="t" o:hr="t"/>
        </w:pict>
      </w:r>
    </w:p>
    <w:bookmarkEnd w:id="32"/>
    <w:bookmarkStart w:id="33" w:name="schnittstelle-zu-care-modulen-tiers"/>
    <w:p>
      <w:pPr>
        <w:pStyle w:val="Heading2"/>
      </w:pPr>
      <w:r>
        <w:t xml:space="preserve">7. Schnittstelle zu Care-Modulen &amp; Tiers</w:t>
      </w:r>
    </w:p>
    <w:p>
      <w:pPr>
        <w:pStyle w:val="Compact"/>
        <w:numPr>
          <w:ilvl w:val="0"/>
          <w:numId w:val="1013"/>
        </w:numPr>
      </w:pPr>
      <w:r>
        <w:t xml:space="preserve">CRE erzeugt ein</w:t>
      </w:r>
      <w:r>
        <w:t xml:space="preserve"> </w:t>
      </w:r>
      <w:r>
        <w:rPr>
          <w:b/>
          <w:bCs/>
        </w:rPr>
        <w:t xml:space="preserve">Clinical Intake Package</w:t>
      </w:r>
    </w:p>
    <w:p>
      <w:pPr>
        <w:pStyle w:val="Compact"/>
        <w:numPr>
          <w:ilvl w:val="0"/>
          <w:numId w:val="1013"/>
        </w:numPr>
      </w:pPr>
      <w:r>
        <w:t xml:space="preserve">Care-Module (z. B. 7S) konsumieren dieses Paket</w:t>
      </w:r>
    </w:p>
    <w:p>
      <w:pPr>
        <w:pStyle w:val="Compact"/>
        <w:numPr>
          <w:ilvl w:val="0"/>
          <w:numId w:val="1013"/>
        </w:numPr>
      </w:pPr>
      <w:r>
        <w:t xml:space="preserve">Tiers definieren erst</w:t>
      </w:r>
      <w:r>
        <w:t xml:space="preserve"> </w:t>
      </w:r>
      <w:r>
        <w:rPr>
          <w:b/>
          <w:bCs/>
        </w:rPr>
        <w:t xml:space="preserve">nachgelagert</w:t>
      </w:r>
      <w:r>
        <w:t xml:space="preserve"> </w:t>
      </w:r>
      <w:r>
        <w:t xml:space="preserve">den Betreuungsumfang</w:t>
      </w:r>
    </w:p>
    <w:p>
      <w:r>
        <w:pict>
          <v:rect style="width:0;height:1.5pt" o:hralign="center" o:hrstd="t" o:hr="t"/>
        </w:pict>
      </w:r>
    </w:p>
    <w:bookmarkEnd w:id="33"/>
    <w:bookmarkStart w:id="34" w:name="erfolgsparameter-medizinisch-qualitativ"/>
    <w:p>
      <w:pPr>
        <w:pStyle w:val="Heading2"/>
      </w:pPr>
      <w:r>
        <w:t xml:space="preserve">8. Erfolgsparameter (medizinisch &amp; qualitativ)</w:t>
      </w:r>
    </w:p>
    <w:p>
      <w:pPr>
        <w:pStyle w:val="Compact"/>
        <w:numPr>
          <w:ilvl w:val="0"/>
          <w:numId w:val="1014"/>
        </w:numPr>
      </w:pPr>
      <w:r>
        <w:t xml:space="preserve">Vollständigkeit der Anamnese</w:t>
      </w:r>
    </w:p>
    <w:p>
      <w:pPr>
        <w:pStyle w:val="Compact"/>
        <w:numPr>
          <w:ilvl w:val="0"/>
          <w:numId w:val="1014"/>
        </w:numPr>
      </w:pPr>
      <w:r>
        <w:t xml:space="preserve">Reduktion ärztlicher Erhebungszeit</w:t>
      </w:r>
    </w:p>
    <w:p>
      <w:pPr>
        <w:pStyle w:val="Compact"/>
        <w:numPr>
          <w:ilvl w:val="0"/>
          <w:numId w:val="1014"/>
        </w:numPr>
      </w:pPr>
      <w:r>
        <w:t xml:space="preserve">Red-Flag-Erkennungsrate</w:t>
      </w:r>
    </w:p>
    <w:p>
      <w:pPr>
        <w:pStyle w:val="Compact"/>
        <w:numPr>
          <w:ilvl w:val="0"/>
          <w:numId w:val="1014"/>
        </w:numPr>
      </w:pPr>
      <w:r>
        <w:t xml:space="preserve">Nutzerverständlichkeit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Canvas v1 – freigegeben zur gemeinsamen Iteration</w:t>
      </w:r>
      <w:r>
        <w:br/>
      </w:r>
      <w:r>
        <w:rPr>
          <w:b/>
          <w:bCs/>
        </w:rPr>
        <w:t xml:space="preserve">Nächster Schritt:</w:t>
      </w:r>
      <w:r>
        <w:t xml:space="preserve"> </w:t>
      </w:r>
      <w:r>
        <w:t xml:space="preserve">Intake Package Spec (Datenmodell &amp; Felder)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2026-02-09T12:20:38Z</dcterms:created>
  <dcterms:modified xsi:type="dcterms:W3CDTF">2026-02-09T12:20:38Z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