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95290eeaf27d9cd5723d2cfe3296c29556889a7"/>
    <w:p>
      <w:pPr>
        <w:pStyle w:val="Heading1"/>
      </w:pPr>
      <w:r>
        <w:t xml:space="preserve">🧪 CRE KLINISCHE VALIDIERUNG &amp; EVIDENZ (CANVAS v1)</w:t>
      </w:r>
    </w:p>
    <w:p>
      <w:pPr>
        <w:pStyle w:val="BlockText"/>
      </w:pPr>
      <w:r>
        <w:t xml:space="preserve">Zweck dieses Canvas:</w:t>
      </w:r>
      <w:r>
        <w:t xml:space="preserve"> </w:t>
      </w:r>
      <w:r>
        <w:rPr>
          <w:b/>
          <w:bCs/>
        </w:rPr>
        <w:t xml:space="preserve">Nachweis von Sicherheit, Nutzen und Leistungsfähigkeit</w:t>
      </w:r>
      <w:r>
        <w:t xml:space="preserve"> </w:t>
      </w:r>
      <w:r>
        <w:t xml:space="preserve">der Clinical Reasoning Engine (CRE).</w:t>
      </w:r>
      <w:r>
        <w:br/>
      </w:r>
      <w:r>
        <w:t xml:space="preserve">Adressaten: Medizinische Leitung, Regulatorik (MDR/DSGVO), Klinische Partner, Investoren.</w:t>
      </w:r>
    </w:p>
    <w:p>
      <w:r>
        <w:pict>
          <v:rect style="width:0;height:1.5pt" o:hralign="center" o:hrstd="t" o:hr="t"/>
        </w:pict>
      </w:r>
    </w:p>
    <w:bookmarkStart w:id="20" w:name="zielsetzung-der-validierung"/>
    <w:p>
      <w:pPr>
        <w:pStyle w:val="Heading2"/>
      </w:pPr>
      <w:r>
        <w:t xml:space="preserve">1) Zielsetzung der Validierung</w:t>
      </w:r>
    </w:p>
    <w:p>
      <w:pPr>
        <w:pStyle w:val="Compact"/>
        <w:numPr>
          <w:ilvl w:val="0"/>
          <w:numId w:val="1001"/>
        </w:numPr>
      </w:pPr>
      <w:r>
        <w:t xml:space="preserve">Nachweis der</w:t>
      </w:r>
      <w:r>
        <w:t xml:space="preserve"> </w:t>
      </w:r>
      <w:r>
        <w:rPr>
          <w:b/>
          <w:bCs/>
        </w:rPr>
        <w:t xml:space="preserve">Patientensicherheit</w:t>
      </w:r>
      <w:r>
        <w:t xml:space="preserve"> </w:t>
      </w:r>
      <w:r>
        <w:t xml:space="preserve">(Red-Flag-Erkennung)</w:t>
      </w:r>
    </w:p>
    <w:p>
      <w:pPr>
        <w:pStyle w:val="Compact"/>
        <w:numPr>
          <w:ilvl w:val="0"/>
          <w:numId w:val="1001"/>
        </w:numPr>
      </w:pPr>
      <w:r>
        <w:t xml:space="preserve">Nachweis der</w:t>
      </w:r>
      <w:r>
        <w:t xml:space="preserve"> </w:t>
      </w:r>
      <w:r>
        <w:rPr>
          <w:b/>
          <w:bCs/>
        </w:rPr>
        <w:t xml:space="preserve">klinischen Nützlichkeit</w:t>
      </w:r>
      <w:r>
        <w:t xml:space="preserve"> </w:t>
      </w:r>
      <w:r>
        <w:t xml:space="preserve">(Zeitgewinn, Vollständigkeit)</w:t>
      </w:r>
    </w:p>
    <w:p>
      <w:pPr>
        <w:pStyle w:val="Compact"/>
        <w:numPr>
          <w:ilvl w:val="0"/>
          <w:numId w:val="1001"/>
        </w:numPr>
      </w:pPr>
      <w:r>
        <w:t xml:space="preserve">Nachweis der</w:t>
      </w:r>
      <w:r>
        <w:t xml:space="preserve"> </w:t>
      </w:r>
      <w:r>
        <w:rPr>
          <w:b/>
          <w:bCs/>
        </w:rPr>
        <w:t xml:space="preserve">Nicht-Unterlegenheit</w:t>
      </w:r>
      <w:r>
        <w:t xml:space="preserve"> </w:t>
      </w:r>
      <w:r>
        <w:t xml:space="preserve">gegenüber ärztlicher Erhebung</w:t>
      </w:r>
    </w:p>
    <w:p>
      <w:pPr>
        <w:pStyle w:val="Compact"/>
        <w:numPr>
          <w:ilvl w:val="0"/>
          <w:numId w:val="1001"/>
        </w:numPr>
      </w:pPr>
      <w:r>
        <w:t xml:space="preserve">Aufbau von</w:t>
      </w:r>
      <w:r>
        <w:t xml:space="preserve"> </w:t>
      </w:r>
      <w:r>
        <w:rPr>
          <w:b/>
          <w:bCs/>
        </w:rPr>
        <w:t xml:space="preserve">Vertrauen</w:t>
      </w:r>
      <w:r>
        <w:t xml:space="preserve"> </w:t>
      </w:r>
      <w:r>
        <w:t xml:space="preserve">bei Anwendern</w:t>
      </w:r>
    </w:p>
    <w:p>
      <w:r>
        <w:pict>
          <v:rect style="width:0;height:1.5pt" o:hralign="center" o:hrstd="t" o:hr="t"/>
        </w:pict>
      </w:r>
    </w:p>
    <w:bookmarkEnd w:id="20"/>
    <w:bookmarkStart w:id="25" w:name="validierungsdomänen-was-wird-gemessen"/>
    <w:p>
      <w:pPr>
        <w:pStyle w:val="Heading2"/>
      </w:pPr>
      <w:r>
        <w:t xml:space="preserve">2) Validierungsdomänen (Was wird gemessen?)</w:t>
      </w:r>
    </w:p>
    <w:bookmarkStart w:id="21" w:name="safety"/>
    <w:p>
      <w:pPr>
        <w:pStyle w:val="Heading3"/>
      </w:pPr>
      <w:r>
        <w:t xml:space="preserve">2.1 Safety</w:t>
      </w:r>
    </w:p>
    <w:p>
      <w:pPr>
        <w:pStyle w:val="Compact"/>
        <w:numPr>
          <w:ilvl w:val="0"/>
          <w:numId w:val="1002"/>
        </w:numPr>
      </w:pPr>
      <w:r>
        <w:t xml:space="preserve">Red-Flag-Sensitivität (Primär)</w:t>
      </w:r>
    </w:p>
    <w:p>
      <w:pPr>
        <w:pStyle w:val="Compact"/>
        <w:numPr>
          <w:ilvl w:val="0"/>
          <w:numId w:val="1002"/>
        </w:numPr>
      </w:pPr>
      <w:r>
        <w:t xml:space="preserve">False-Negative-Rate (kritisch)</w:t>
      </w:r>
    </w:p>
    <w:p>
      <w:pPr>
        <w:pStyle w:val="Compact"/>
        <w:numPr>
          <w:ilvl w:val="0"/>
          <w:numId w:val="1002"/>
        </w:numPr>
      </w:pPr>
      <w:r>
        <w:t xml:space="preserve">Zeit bis Eskalation</w:t>
      </w:r>
    </w:p>
    <w:bookmarkEnd w:id="21"/>
    <w:bookmarkStart w:id="22" w:name="qualität-der-anamnese"/>
    <w:p>
      <w:pPr>
        <w:pStyle w:val="Heading3"/>
      </w:pPr>
      <w:r>
        <w:t xml:space="preserve">2.2 Qualität der Anamnese</w:t>
      </w:r>
    </w:p>
    <w:p>
      <w:pPr>
        <w:pStyle w:val="Compact"/>
        <w:numPr>
          <w:ilvl w:val="0"/>
          <w:numId w:val="1003"/>
        </w:numPr>
      </w:pPr>
      <w:r>
        <w:t xml:space="preserve">Vollständigkeit (Checklisten-basiert)</w:t>
      </w:r>
    </w:p>
    <w:p>
      <w:pPr>
        <w:pStyle w:val="Compact"/>
        <w:numPr>
          <w:ilvl w:val="0"/>
          <w:numId w:val="1003"/>
        </w:numPr>
      </w:pPr>
      <w:r>
        <w:t xml:space="preserve">Relevanz (Anteil verwertbarer Informationen)</w:t>
      </w:r>
    </w:p>
    <w:p>
      <w:pPr>
        <w:pStyle w:val="Compact"/>
        <w:numPr>
          <w:ilvl w:val="0"/>
          <w:numId w:val="1003"/>
        </w:numPr>
      </w:pPr>
      <w:r>
        <w:t xml:space="preserve">Konsistenz (Widerspruchsrate)</w:t>
      </w:r>
    </w:p>
    <w:bookmarkEnd w:id="22"/>
    <w:bookmarkStart w:id="23" w:name="effizienz"/>
    <w:p>
      <w:pPr>
        <w:pStyle w:val="Heading3"/>
      </w:pPr>
      <w:r>
        <w:t xml:space="preserve">2.3 Effizienz</w:t>
      </w:r>
    </w:p>
    <w:p>
      <w:pPr>
        <w:pStyle w:val="Compact"/>
        <w:numPr>
          <w:ilvl w:val="0"/>
          <w:numId w:val="1004"/>
        </w:numPr>
      </w:pPr>
      <w:r>
        <w:t xml:space="preserve">Zeitersparnis pro Arztkontakt</w:t>
      </w:r>
    </w:p>
    <w:p>
      <w:pPr>
        <w:pStyle w:val="Compact"/>
        <w:numPr>
          <w:ilvl w:val="0"/>
          <w:numId w:val="1004"/>
        </w:numPr>
      </w:pPr>
      <w:r>
        <w:t xml:space="preserve">Reduktion von Nachfragen</w:t>
      </w:r>
    </w:p>
    <w:bookmarkEnd w:id="23"/>
    <w:bookmarkStart w:id="24" w:name="akzeptanz"/>
    <w:p>
      <w:pPr>
        <w:pStyle w:val="Heading3"/>
      </w:pPr>
      <w:r>
        <w:t xml:space="preserve">2.4 Akzeptanz</w:t>
      </w:r>
    </w:p>
    <w:p>
      <w:pPr>
        <w:pStyle w:val="Compact"/>
        <w:numPr>
          <w:ilvl w:val="0"/>
          <w:numId w:val="1005"/>
        </w:numPr>
      </w:pPr>
      <w:r>
        <w:t xml:space="preserve">Arztzufriedenheit (Likert)</w:t>
      </w:r>
    </w:p>
    <w:p>
      <w:pPr>
        <w:pStyle w:val="Compact"/>
        <w:numPr>
          <w:ilvl w:val="0"/>
          <w:numId w:val="1005"/>
        </w:numPr>
      </w:pPr>
      <w:r>
        <w:t xml:space="preserve">Patientenzufriedenheit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goldstandard-ground-truth"/>
    <w:p>
      <w:pPr>
        <w:pStyle w:val="Heading2"/>
      </w:pPr>
      <w:r>
        <w:t xml:space="preserve">3) Goldstandard &amp; Ground Truth</w:t>
      </w:r>
    </w:p>
    <w:bookmarkStart w:id="26" w:name="ärztlicher-goldstandard"/>
    <w:p>
      <w:pPr>
        <w:pStyle w:val="Heading3"/>
      </w:pPr>
      <w:r>
        <w:t xml:space="preserve">3.1 Ärztlicher Goldstandard</w:t>
      </w:r>
    </w:p>
    <w:p>
      <w:pPr>
        <w:pStyle w:val="Compact"/>
        <w:numPr>
          <w:ilvl w:val="0"/>
          <w:numId w:val="1006"/>
        </w:numPr>
      </w:pPr>
      <w:r>
        <w:t xml:space="preserve">Parallel erhobene ärztliche Anamnese</w:t>
      </w:r>
    </w:p>
    <w:p>
      <w:pPr>
        <w:pStyle w:val="Compact"/>
        <w:numPr>
          <w:ilvl w:val="0"/>
          <w:numId w:val="1006"/>
        </w:numPr>
      </w:pPr>
      <w:r>
        <w:t xml:space="preserve">unabhängige Doppelbewertung</w:t>
      </w:r>
    </w:p>
    <w:bookmarkEnd w:id="26"/>
    <w:bookmarkStart w:id="27" w:name="konsensuspanel"/>
    <w:p>
      <w:pPr>
        <w:pStyle w:val="Heading3"/>
      </w:pPr>
      <w:r>
        <w:t xml:space="preserve">3.2 Konsensuspanel</w:t>
      </w:r>
    </w:p>
    <w:p>
      <w:pPr>
        <w:pStyle w:val="Compact"/>
        <w:numPr>
          <w:ilvl w:val="0"/>
          <w:numId w:val="1007"/>
        </w:numPr>
      </w:pPr>
      <w:r>
        <w:t xml:space="preserve">Senior Clinicians (GP + Spezialist)</w:t>
      </w:r>
    </w:p>
    <w:p>
      <w:pPr>
        <w:pStyle w:val="Compact"/>
        <w:numPr>
          <w:ilvl w:val="0"/>
          <w:numId w:val="1007"/>
        </w:numPr>
      </w:pPr>
      <w:r>
        <w:t xml:space="preserve">Blinded Review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studiendesigns-gestaffelt"/>
    <w:p>
      <w:pPr>
        <w:pStyle w:val="Heading2"/>
      </w:pPr>
      <w:r>
        <w:t xml:space="preserve">4) Studiendesigns (gestaffelt)</w:t>
      </w:r>
    </w:p>
    <w:bookmarkStart w:id="29" w:name="phase-i-retrospektiv-offline"/>
    <w:p>
      <w:pPr>
        <w:pStyle w:val="Heading3"/>
      </w:pPr>
      <w:r>
        <w:t xml:space="preserve">Phase I – Retrospektiv (Offline)</w:t>
      </w:r>
    </w:p>
    <w:p>
      <w:pPr>
        <w:pStyle w:val="Compact"/>
        <w:numPr>
          <w:ilvl w:val="0"/>
          <w:numId w:val="1008"/>
        </w:numPr>
      </w:pPr>
      <w:r>
        <w:t xml:space="preserve">Datensätze historischer Fälle</w:t>
      </w:r>
    </w:p>
    <w:p>
      <w:pPr>
        <w:pStyle w:val="Compact"/>
        <w:numPr>
          <w:ilvl w:val="0"/>
          <w:numId w:val="1008"/>
        </w:numPr>
      </w:pPr>
      <w:r>
        <w:t xml:space="preserve">Simulation der CRE-Reasoning-Kette</w:t>
      </w:r>
    </w:p>
    <w:bookmarkEnd w:id="29"/>
    <w:bookmarkStart w:id="30" w:name="phase-ii-prospektiv-shadow-mode"/>
    <w:p>
      <w:pPr>
        <w:pStyle w:val="Heading3"/>
      </w:pPr>
      <w:r>
        <w:t xml:space="preserve">Phase II – Prospektiv (Shadow Mode)</w:t>
      </w:r>
    </w:p>
    <w:p>
      <w:pPr>
        <w:pStyle w:val="Compact"/>
        <w:numPr>
          <w:ilvl w:val="0"/>
          <w:numId w:val="1009"/>
        </w:numPr>
      </w:pPr>
      <w:r>
        <w:t xml:space="preserve">CRE läuft parallel, ohne Einfluss</w:t>
      </w:r>
    </w:p>
    <w:p>
      <w:pPr>
        <w:pStyle w:val="Compact"/>
        <w:numPr>
          <w:ilvl w:val="0"/>
          <w:numId w:val="1009"/>
        </w:numPr>
      </w:pPr>
      <w:r>
        <w:t xml:space="preserve">Vergleich mit ärztlicher Erhebung</w:t>
      </w:r>
    </w:p>
    <w:bookmarkEnd w:id="30"/>
    <w:bookmarkStart w:id="31" w:name="phase-iii-interventionsstudie"/>
    <w:p>
      <w:pPr>
        <w:pStyle w:val="Heading3"/>
      </w:pPr>
      <w:r>
        <w:t xml:space="preserve">Phase III – Interventionsstudie</w:t>
      </w:r>
    </w:p>
    <w:p>
      <w:pPr>
        <w:pStyle w:val="Compact"/>
        <w:numPr>
          <w:ilvl w:val="0"/>
          <w:numId w:val="1010"/>
        </w:numPr>
      </w:pPr>
      <w:r>
        <w:t xml:space="preserve">CRE-gestützter Intake vs. Standard</w:t>
      </w:r>
    </w:p>
    <w:p>
      <w:pPr>
        <w:pStyle w:val="Compact"/>
        <w:numPr>
          <w:ilvl w:val="0"/>
          <w:numId w:val="1010"/>
        </w:numPr>
      </w:pPr>
      <w:r>
        <w:t xml:space="preserve">Primärer Endpunkt: Zeit + Safety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kpis-schwellenwerte"/>
    <w:p>
      <w:pPr>
        <w:pStyle w:val="Heading2"/>
      </w:pPr>
      <w:r>
        <w:t xml:space="preserve">5) KPIs &amp; Schwellenwerte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Zielwert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Red-Flag-Sensitivität</w:t>
            </w:r>
          </w:p>
        </w:tc>
        <w:tc>
          <w:tcPr/>
          <w:p>
            <w:pPr>
              <w:pStyle w:val="Compact"/>
            </w:pPr>
            <w:r>
              <w:t xml:space="preserve">≥ 95 %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Negatives</w:t>
            </w:r>
          </w:p>
        </w:tc>
        <w:tc>
          <w:tcPr/>
          <w:p>
            <w:pPr>
              <w:pStyle w:val="Compact"/>
            </w:pPr>
            <w:r>
              <w:t xml:space="preserve">&lt; 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Zeitersparnis</w:t>
            </w:r>
          </w:p>
        </w:tc>
        <w:tc>
          <w:tcPr/>
          <w:p>
            <w:pPr>
              <w:pStyle w:val="Compact"/>
            </w:pPr>
            <w:r>
              <w:t xml:space="preserve">≥ 30 %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Arztakzeptanz</w:t>
            </w:r>
          </w:p>
        </w:tc>
        <w:tc>
          <w:tcPr/>
          <w:p>
            <w:pPr>
              <w:pStyle w:val="Compact"/>
            </w:pPr>
            <w:r>
              <w:t xml:space="preserve">≥ 80 %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ubgruppen-adapter-validierung"/>
    <w:p>
      <w:pPr>
        <w:pStyle w:val="Heading2"/>
      </w:pPr>
      <w:r>
        <w:t xml:space="preserve">6) Subgruppen &amp; Adapter-Validierung</w:t>
      </w:r>
    </w:p>
    <w:p>
      <w:pPr>
        <w:pStyle w:val="Compact"/>
        <w:numPr>
          <w:ilvl w:val="0"/>
          <w:numId w:val="1011"/>
        </w:numPr>
      </w:pPr>
      <w:r>
        <w:t xml:space="preserve">GP-Core</w:t>
      </w:r>
    </w:p>
    <w:p>
      <w:pPr>
        <w:pStyle w:val="Compact"/>
        <w:numPr>
          <w:ilvl w:val="0"/>
          <w:numId w:val="1011"/>
        </w:numPr>
      </w:pPr>
      <w:r>
        <w:t xml:space="preserve">Kardio / 7S</w:t>
      </w:r>
    </w:p>
    <w:p>
      <w:pPr>
        <w:pStyle w:val="Compact"/>
        <w:numPr>
          <w:ilvl w:val="0"/>
          <w:numId w:val="1011"/>
        </w:numPr>
      </w:pPr>
      <w:r>
        <w:t xml:space="preserve">Geriatrie (Sturz, Delir)</w:t>
      </w:r>
    </w:p>
    <w:p>
      <w:pPr>
        <w:pStyle w:val="Compact"/>
        <w:numPr>
          <w:ilvl w:val="0"/>
          <w:numId w:val="1011"/>
        </w:numPr>
      </w:pPr>
      <w:r>
        <w:t xml:space="preserve">Pädiatrie (Fremdanamnese)</w:t>
      </w:r>
    </w:p>
    <w:p>
      <w:pPr>
        <w:pStyle w:val="Compact"/>
        <w:numPr>
          <w:ilvl w:val="0"/>
          <w:numId w:val="1011"/>
        </w:numPr>
      </w:pPr>
      <w:r>
        <w:t xml:space="preserve">Psychiatrische Module</w:t>
      </w:r>
    </w:p>
    <w:p>
      <w:r>
        <w:pict>
          <v:rect style="width:0;height:1.5pt" o:hralign="center" o:hrstd="t" o:hr="t"/>
        </w:pict>
      </w:r>
    </w:p>
    <w:bookmarkEnd w:id="34"/>
    <w:bookmarkStart w:id="35" w:name="datensicherheit-ethik"/>
    <w:p>
      <w:pPr>
        <w:pStyle w:val="Heading2"/>
      </w:pPr>
      <w:r>
        <w:t xml:space="preserve">7) Datensicherheit &amp; Ethik</w:t>
      </w:r>
    </w:p>
    <w:p>
      <w:pPr>
        <w:pStyle w:val="Compact"/>
        <w:numPr>
          <w:ilvl w:val="0"/>
          <w:numId w:val="1012"/>
        </w:numPr>
      </w:pPr>
      <w:r>
        <w:t xml:space="preserve">Ethikvotum (prospektiv)</w:t>
      </w:r>
    </w:p>
    <w:p>
      <w:pPr>
        <w:pStyle w:val="Compact"/>
        <w:numPr>
          <w:ilvl w:val="0"/>
          <w:numId w:val="1012"/>
        </w:numPr>
      </w:pPr>
      <w:r>
        <w:t xml:space="preserve">DSGVO-konforme Pseudonymisierung</w:t>
      </w:r>
    </w:p>
    <w:p>
      <w:pPr>
        <w:pStyle w:val="Compact"/>
        <w:numPr>
          <w:ilvl w:val="0"/>
          <w:numId w:val="1012"/>
        </w:numPr>
      </w:pPr>
      <w:r>
        <w:t xml:space="preserve">Zweckbindung &amp; Löschkonzepte</w:t>
      </w:r>
    </w:p>
    <w:p>
      <w:r>
        <w:pict>
          <v:rect style="width:0;height:1.5pt" o:hralign="center" o:hrstd="t" o:hr="t"/>
        </w:pict>
      </w:r>
    </w:p>
    <w:bookmarkEnd w:id="35"/>
    <w:bookmarkStart w:id="36" w:name="reporting-publikation"/>
    <w:p>
      <w:pPr>
        <w:pStyle w:val="Heading2"/>
      </w:pPr>
      <w:r>
        <w:t xml:space="preserve">8) Reporting &amp; Publikation</w:t>
      </w:r>
    </w:p>
    <w:p>
      <w:pPr>
        <w:pStyle w:val="Compact"/>
        <w:numPr>
          <w:ilvl w:val="0"/>
          <w:numId w:val="1013"/>
        </w:numPr>
      </w:pPr>
      <w:r>
        <w:t xml:space="preserve">CONSORT-AI / STARD-AI</w:t>
      </w:r>
    </w:p>
    <w:p>
      <w:pPr>
        <w:pStyle w:val="Compact"/>
        <w:numPr>
          <w:ilvl w:val="0"/>
          <w:numId w:val="1013"/>
        </w:numPr>
      </w:pPr>
      <w:r>
        <w:t xml:space="preserve">Preprint + Peer Review</w:t>
      </w:r>
    </w:p>
    <w:p>
      <w:pPr>
        <w:pStyle w:val="Compact"/>
        <w:numPr>
          <w:ilvl w:val="0"/>
          <w:numId w:val="1013"/>
        </w:numPr>
      </w:pPr>
      <w:r>
        <w:t xml:space="preserve">Transparente Fehleranalyse</w:t>
      </w:r>
    </w:p>
    <w:p>
      <w:r>
        <w:pict>
          <v:rect style="width:0;height:1.5pt" o:hralign="center" o:hrstd="t" o:hr="t"/>
        </w:pict>
      </w:r>
    </w:p>
    <w:bookmarkEnd w:id="36"/>
    <w:bookmarkStart w:id="37" w:name="kontinuierliche-validierung-post-market"/>
    <w:p>
      <w:pPr>
        <w:pStyle w:val="Heading2"/>
      </w:pPr>
      <w:r>
        <w:t xml:space="preserve">9) Kontinuierliche Validierung (Post-Market)</w:t>
      </w:r>
    </w:p>
    <w:p>
      <w:pPr>
        <w:pStyle w:val="Compact"/>
        <w:numPr>
          <w:ilvl w:val="0"/>
          <w:numId w:val="1014"/>
        </w:numPr>
      </w:pPr>
      <w:r>
        <w:t xml:space="preserve">Drift-Monitoring</w:t>
      </w:r>
    </w:p>
    <w:p>
      <w:pPr>
        <w:pStyle w:val="Compact"/>
        <w:numPr>
          <w:ilvl w:val="0"/>
          <w:numId w:val="1014"/>
        </w:numPr>
      </w:pPr>
      <w:r>
        <w:t xml:space="preserve">Safety Alerts</w:t>
      </w:r>
    </w:p>
    <w:p>
      <w:pPr>
        <w:pStyle w:val="Compact"/>
        <w:numPr>
          <w:ilvl w:val="0"/>
          <w:numId w:val="1014"/>
        </w:numPr>
      </w:pPr>
      <w:r>
        <w:t xml:space="preserve">Physician Calibration Mode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Canvas v1 – Validierungsgrundlage definiert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Mehrsprachigkeit &amp; Kultur-Canvas</w:t>
      </w:r>
      <w:r>
        <w:t xml:space="preserve"> </w:t>
      </w:r>
      <w:r>
        <w:rPr>
          <w:b/>
          <w:bCs/>
        </w:rPr>
        <w:t xml:space="preserve">oder</w:t>
      </w:r>
      <w:r>
        <w:t xml:space="preserve"> </w:t>
      </w:r>
      <w:r>
        <w:t xml:space="preserve">FHIR Resource Mapping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2026-02-09T12:17:56Z</dcterms:created>
  <dcterms:modified xsi:type="dcterms:W3CDTF">2026-02-09T12:17:56Z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