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5302eb0bcb1a3063aac7b50c1ec19f4dbf705e"/>
    <w:p>
      <w:pPr>
        <w:pStyle w:val="Heading1"/>
      </w:pPr>
      <w:r>
        <w:t xml:space="preserve">🌍 CRE MEHRSPRACHIGKEIT &amp; KULTUR – CLINICAL LANGUAGE NORMALIZATION (CANVAS v1)</w:t>
      </w:r>
    </w:p>
    <w:p>
      <w:pPr>
        <w:pStyle w:val="BlockText"/>
      </w:pPr>
      <w:r>
        <w:t xml:space="preserve">Zweck dieses Canvas: Sicherstellung, dass die CRE</w:t>
      </w:r>
      <w:r>
        <w:t xml:space="preserve"> </w:t>
      </w:r>
      <w:r>
        <w:rPr>
          <w:b/>
          <w:bCs/>
        </w:rPr>
        <w:t xml:space="preserve">sprach- und kulturübergreifend</w:t>
      </w:r>
      <w:r>
        <w:t xml:space="preserve"> </w:t>
      </w:r>
      <w:r>
        <w:t xml:space="preserve">medizinisch korrekt erhebt, normalisiert und bewertet – ohne Bias, Bedeutungsverlust oder Sicherheitsrisiken.</w:t>
      </w:r>
      <w:r>
        <w:t xml:space="preserve"> </w:t>
      </w:r>
      <w:r>
        <w:t xml:space="preserve">Fokus: klinische Semantik, Equity, Safety und Skalierbarkeit.</w:t>
      </w:r>
    </w:p>
    <w:p>
      <w:r>
        <w:pict>
          <v:rect style="width:0;height:1.5pt" o:hralign="center" o:hrstd="t" o:hr="t"/>
        </w:pict>
      </w:r>
    </w:p>
    <w:bookmarkStart w:id="20" w:name="medizinisches-problem-why"/>
    <w:p>
      <w:pPr>
        <w:pStyle w:val="Heading2"/>
      </w:pPr>
      <w:r>
        <w:t xml:space="preserve">1) Medizinisches Problem (WHY)</w:t>
      </w:r>
    </w:p>
    <w:p>
      <w:pPr>
        <w:pStyle w:val="Compact"/>
        <w:numPr>
          <w:ilvl w:val="0"/>
          <w:numId w:val="1001"/>
        </w:numPr>
      </w:pPr>
      <w:r>
        <w:t xml:space="preserve">Symptome sind</w:t>
      </w:r>
      <w:r>
        <w:t xml:space="preserve"> </w:t>
      </w:r>
      <w:r>
        <w:rPr>
          <w:b/>
          <w:bCs/>
        </w:rPr>
        <w:t xml:space="preserve">sprachlich, kulturell und kontextuell geprägt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Direkte Übersetzung ≠ klinische Bedeutung.</w:t>
      </w:r>
    </w:p>
    <w:p>
      <w:pPr>
        <w:pStyle w:val="Compact"/>
        <w:numPr>
          <w:ilvl w:val="0"/>
          <w:numId w:val="1001"/>
        </w:numPr>
      </w:pPr>
      <w:r>
        <w:t xml:space="preserve">Fehlinterpretationen erhöhen</w:t>
      </w:r>
      <w:r>
        <w:t xml:space="preserve"> </w:t>
      </w:r>
      <w:r>
        <w:rPr>
          <w:b/>
          <w:bCs/>
        </w:rPr>
        <w:t xml:space="preserve">False Negatives</w:t>
      </w:r>
      <w:r>
        <w:t xml:space="preserve"> </w:t>
      </w:r>
      <w:r>
        <w:t xml:space="preserve">(Safety-Risiko).</w:t>
      </w:r>
    </w:p>
    <w:p>
      <w:pPr>
        <w:pStyle w:val="FirstParagraph"/>
      </w:pPr>
      <w:r>
        <w:rPr>
          <w:b/>
          <w:bCs/>
        </w:rPr>
        <w:t xml:space="preserve">Beispiele:</w:t>
      </w:r>
      <w:r>
        <w:t xml:space="preserve"> </w:t>
      </w:r>
      <w:r>
        <w:t xml:space="preserve">- „Herzschmerz“ (türk. Kontext) → somatische Stress-/Angst-Äquivalente</w:t>
      </w:r>
      <w:r>
        <w:t xml:space="preserve"> </w:t>
      </w:r>
      <w:r>
        <w:t xml:space="preserve">- „Mir wird schwarz vor Augen“ → Präsynkope (nicht Sehstörung)</w:t>
      </w:r>
      <w:r>
        <w:t xml:space="preserve"> </w:t>
      </w:r>
      <w:r>
        <w:t xml:space="preserve">- „A pressure like an elephant sitting on my chest“ → Thoraxschmerz (ACS-Relevanz)</w:t>
      </w:r>
    </w:p>
    <w:p>
      <w:r>
        <w:pict>
          <v:rect style="width:0;height:1.5pt" o:hralign="center" o:hrstd="t" o:hr="t"/>
        </w:pict>
      </w:r>
    </w:p>
    <w:bookmarkEnd w:id="20"/>
    <w:bookmarkStart w:id="21" w:name="designprinzipien"/>
    <w:p>
      <w:pPr>
        <w:pStyle w:val="Heading2"/>
      </w:pPr>
      <w:r>
        <w:t xml:space="preserve">2) Designprinzipien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Meaning first, words second</w:t>
      </w:r>
    </w:p>
    <w:p>
      <w:pPr>
        <w:pStyle w:val="Compact"/>
        <w:numPr>
          <w:ilvl w:val="0"/>
          <w:numId w:val="1002"/>
        </w:numPr>
      </w:pPr>
      <w:r>
        <w:t xml:space="preserve">Trennung von</w:t>
      </w:r>
      <w:r>
        <w:t xml:space="preserve"> </w:t>
      </w:r>
      <w:r>
        <w:rPr>
          <w:b/>
          <w:bCs/>
        </w:rPr>
        <w:t xml:space="preserve">sprachlicher Oberfläche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klinischer Entität</w:t>
      </w:r>
    </w:p>
    <w:p>
      <w:pPr>
        <w:pStyle w:val="Compact"/>
        <w:numPr>
          <w:ilvl w:val="0"/>
          <w:numId w:val="1002"/>
        </w:numPr>
      </w:pPr>
      <w:r>
        <w:t xml:space="preserve">Kultur- und Literacy-sensitiv</w:t>
      </w:r>
    </w:p>
    <w:p>
      <w:pPr>
        <w:pStyle w:val="Compact"/>
        <w:numPr>
          <w:ilvl w:val="0"/>
          <w:numId w:val="1002"/>
        </w:numPr>
      </w:pPr>
      <w:r>
        <w:t xml:space="preserve">Safety-bias: unklare Begriffe → konservative Eskalation</w:t>
      </w:r>
    </w:p>
    <w:p>
      <w:r>
        <w:pict>
          <v:rect style="width:0;height:1.5pt" o:hralign="center" o:hrstd="t" o:hr="t"/>
        </w:pict>
      </w:r>
    </w:p>
    <w:bookmarkEnd w:id="21"/>
    <w:bookmarkStart w:id="22" w:name="architekturübersicht"/>
    <w:p>
      <w:pPr>
        <w:pStyle w:val="Heading2"/>
      </w:pPr>
      <w:r>
        <w:t xml:space="preserve">3) Architekturübersicht</w:t>
      </w:r>
    </w:p>
    <w:p>
      <w:pPr>
        <w:pStyle w:val="FirstParagraph"/>
      </w:pPr>
      <w:r>
        <w:rPr>
          <w:b/>
          <w:bCs/>
        </w:rPr>
        <w:t xml:space="preserve">Input (Multilingual, Multimodal)</w:t>
      </w:r>
      <w:r>
        <w:t xml:space="preserve"> </w:t>
      </w:r>
      <w:r>
        <w:t xml:space="preserve">→ Language Detection</w:t>
      </w:r>
      <w:r>
        <w:t xml:space="preserve"> </w:t>
      </w:r>
      <w:r>
        <w:t xml:space="preserve">→ Cultural Context Inference</w:t>
      </w:r>
      <w:r>
        <w:t xml:space="preserve"> </w:t>
      </w:r>
      <w:r>
        <w:t xml:space="preserve">→ Symptom Phrase Parsing</w:t>
      </w:r>
      <w:r>
        <w:t xml:space="preserve"> </w:t>
      </w:r>
      <w:r>
        <w:t xml:space="preserve">→ Clinical Entity Normalization</w:t>
      </w:r>
      <w:r>
        <w:t xml:space="preserve"> </w:t>
      </w:r>
      <w:r>
        <w:t xml:space="preserve">→ EvidenceItem (standardisiert)</w:t>
      </w:r>
    </w:p>
    <w:p>
      <w:r>
        <w:pict>
          <v:rect style="width:0;height:1.5pt" o:hralign="center" o:hrstd="t" o:hr="t"/>
        </w:pict>
      </w:r>
    </w:p>
    <w:bookmarkEnd w:id="22"/>
    <w:bookmarkStart w:id="25" w:name="cultural-symptom-normalizer-csn"/>
    <w:p>
      <w:pPr>
        <w:pStyle w:val="Heading2"/>
      </w:pPr>
      <w:r>
        <w:t xml:space="preserve">4) Cultural Symptom Normalizer (CSN)</w:t>
      </w:r>
    </w:p>
    <w:bookmarkStart w:id="23" w:name="komponenten"/>
    <w:p>
      <w:pPr>
        <w:pStyle w:val="Heading3"/>
      </w:pPr>
      <w:r>
        <w:t xml:space="preserve">4.1 Komponenten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 Detector</w:t>
      </w:r>
      <w:r>
        <w:t xml:space="preserve"> </w:t>
      </w:r>
      <w:r>
        <w:t xml:space="preserve">(automatisch, pro Turn)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Cultural Context Tags</w:t>
      </w:r>
      <w:r>
        <w:t xml:space="preserve"> </w:t>
      </w:r>
      <w:r>
        <w:t xml:space="preserve">(Region, Herkunft, Dialekt optional)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Phrase-to-Entity Mapper</w:t>
      </w:r>
      <w:r>
        <w:t xml:space="preserve"> </w:t>
      </w:r>
      <w:r>
        <w:t xml:space="preserve">(Many-to-One)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Ambiguity Resolver</w:t>
      </w:r>
      <w:r>
        <w:t xml:space="preserve"> </w:t>
      </w:r>
      <w:r>
        <w:t xml:space="preserve">(Rückfragen)</w:t>
      </w:r>
    </w:p>
    <w:bookmarkEnd w:id="23"/>
    <w:bookmarkStart w:id="24" w:name="output"/>
    <w:p>
      <w:pPr>
        <w:pStyle w:val="Heading3"/>
      </w:pPr>
      <w:r>
        <w:t xml:space="preserve">4.2 Output</w:t>
      </w:r>
    </w:p>
    <w:p>
      <w:pPr>
        <w:pStyle w:val="Compact"/>
        <w:numPr>
          <w:ilvl w:val="0"/>
          <w:numId w:val="1004"/>
        </w:numPr>
      </w:pPr>
      <w:r>
        <w:t xml:space="preserve">standardisierte klinische Entität (z. B.</w:t>
      </w:r>
      <w:r>
        <w:t xml:space="preserve"> </w:t>
      </w:r>
      <w:r>
        <w:rPr>
          <w:i/>
          <w:iCs/>
        </w:rPr>
        <w:t xml:space="preserve">presyncope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Originalphrase (auditierbar)</w:t>
      </w:r>
    </w:p>
    <w:p>
      <w:pPr>
        <w:pStyle w:val="Compact"/>
        <w:numPr>
          <w:ilvl w:val="0"/>
          <w:numId w:val="1004"/>
        </w:numPr>
      </w:pPr>
      <w:r>
        <w:t xml:space="preserve">Ambiguitätsgrad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ymptom-äquivalenz-logik"/>
    <w:p>
      <w:pPr>
        <w:pStyle w:val="Heading2"/>
      </w:pPr>
      <w:r>
        <w:t xml:space="preserve">5) Symptom-Äquivalenz-Logik</w:t>
      </w:r>
    </w:p>
    <w:bookmarkStart w:id="26" w:name="äquivalenztypen"/>
    <w:p>
      <w:pPr>
        <w:pStyle w:val="Heading3"/>
      </w:pPr>
      <w:r>
        <w:t xml:space="preserve">5.1 Äquivalenztypen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Direkte Entität</w:t>
      </w:r>
      <w:r>
        <w:t xml:space="preserve">: 1 Phrase → 1 Symptom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Kulturelles Äquivalent</w:t>
      </w:r>
      <w:r>
        <w:t xml:space="preserve">: Phrase → anderes Leitsymptom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Metaphorisch</w:t>
      </w:r>
      <w:r>
        <w:t xml:space="preserve">: Bildsprache → somatische Entität</w:t>
      </w:r>
    </w:p>
    <w:bookmarkEnd w:id="26"/>
    <w:bookmarkStart w:id="27" w:name="beispiele"/>
    <w:p>
      <w:pPr>
        <w:pStyle w:val="Heading3"/>
      </w:pPr>
      <w:r>
        <w:t xml:space="preserve">5.2 Beispiele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Originalphrase</w:t>
            </w:r>
          </w:p>
        </w:tc>
        <w:tc>
          <w:tcPr/>
          <w:p>
            <w:pPr>
              <w:pStyle w:val="Compact"/>
            </w:pPr>
            <w:r>
              <w:t xml:space="preserve">Sprache/Kultur</w:t>
            </w:r>
          </w:p>
        </w:tc>
        <w:tc>
          <w:tcPr/>
          <w:p>
            <w:pPr>
              <w:pStyle w:val="Compact"/>
            </w:pPr>
            <w:r>
              <w:t xml:space="preserve">Normalisierte Entität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„Herzstich“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thoracic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„Herzschmerz“</w:t>
            </w:r>
          </w:p>
        </w:tc>
        <w:tc>
          <w:tcPr/>
          <w:p>
            <w:pPr>
              <w:pStyle w:val="Compact"/>
            </w:pPr>
            <w:r>
              <w:t xml:space="preserve">TR</w:t>
            </w:r>
          </w:p>
        </w:tc>
        <w:tc>
          <w:tcPr/>
          <w:p>
            <w:pPr>
              <w:pStyle w:val="Compact"/>
            </w:pPr>
            <w:r>
              <w:t xml:space="preserve">chest discomfort / anxiety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„me siento mareado“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dizziness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„blackout“</w:t>
            </w:r>
          </w:p>
        </w:tc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syncope vs. amnesia (Rückfrage)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ambiguitäts--rückfrage-strategie"/>
    <w:p>
      <w:pPr>
        <w:pStyle w:val="Heading2"/>
      </w:pPr>
      <w:r>
        <w:t xml:space="preserve">6) Ambiguitäts- &amp; Rückfrage-Strategie</w:t>
      </w:r>
    </w:p>
    <w:p>
      <w:pPr>
        <w:pStyle w:val="Compact"/>
        <w:numPr>
          <w:ilvl w:val="0"/>
          <w:numId w:val="1006"/>
        </w:numPr>
      </w:pPr>
      <w:r>
        <w:t xml:space="preserve">Ambiguität &gt; Schwelle →</w:t>
      </w:r>
      <w:r>
        <w:t xml:space="preserve"> </w:t>
      </w:r>
      <w:r>
        <w:rPr>
          <w:b/>
          <w:bCs/>
        </w:rPr>
        <w:t xml:space="preserve">Clarification Prompt</w:t>
      </w:r>
    </w:p>
    <w:p>
      <w:pPr>
        <w:pStyle w:val="Compact"/>
        <w:numPr>
          <w:ilvl w:val="0"/>
          <w:numId w:val="1006"/>
        </w:numPr>
      </w:pPr>
      <w:r>
        <w:t xml:space="preserve">Rückfragen in</w:t>
      </w:r>
      <w:r>
        <w:t xml:space="preserve"> </w:t>
      </w:r>
      <w:r>
        <w:rPr>
          <w:b/>
          <w:bCs/>
        </w:rPr>
        <w:t xml:space="preserve">Alltagssprache</w:t>
      </w:r>
    </w:p>
    <w:p>
      <w:pPr>
        <w:pStyle w:val="Compact"/>
        <w:numPr>
          <w:ilvl w:val="0"/>
          <w:numId w:val="1006"/>
        </w:numPr>
      </w:pPr>
      <w:r>
        <w:t xml:space="preserve">Einsatz des</w:t>
      </w:r>
      <w:r>
        <w:t xml:space="preserve"> </w:t>
      </w:r>
      <w:r>
        <w:rPr>
          <w:b/>
          <w:bCs/>
        </w:rPr>
        <w:t xml:space="preserve">Teach-Back Verification Loop</w:t>
      </w:r>
    </w:p>
    <w:p>
      <w:pPr>
        <w:pStyle w:val="FirstParagraph"/>
      </w:pPr>
      <w:r>
        <w:t xml:space="preserve">Beispiel:</w:t>
      </w:r>
      <w:r>
        <w:t xml:space="preserve"> </w:t>
      </w:r>
      <w:r>
        <w:t xml:space="preserve">&gt; „Wenn Sie sagen ‚schwarz vor Augen‘ – sind Sie dabei umgekippt oder wurde Ihnen nur kurz schwindelig?“</w:t>
      </w:r>
    </w:p>
    <w:p>
      <w:r>
        <w:pict>
          <v:rect style="width:0;height:1.5pt" o:hralign="center" o:hrstd="t" o:hr="t"/>
        </w:pict>
      </w:r>
    </w:p>
    <w:bookmarkEnd w:id="29"/>
    <w:bookmarkStart w:id="32" w:name="Xd13ab4e8d7bdd7d6ace886c5c608706b9cb3a1c"/>
    <w:p>
      <w:pPr>
        <w:pStyle w:val="Heading2"/>
      </w:pPr>
      <w:r>
        <w:t xml:space="preserve">7) Health-Literacy Adaptive Complexity Scaling</w:t>
      </w:r>
    </w:p>
    <w:bookmarkStart w:id="30" w:name="literacy-erkennung-heuristisch"/>
    <w:p>
      <w:pPr>
        <w:pStyle w:val="Heading3"/>
      </w:pPr>
      <w:r>
        <w:t xml:space="preserve">7.1 Literacy-Erkennung (heuristisch)</w:t>
      </w:r>
    </w:p>
    <w:p>
      <w:pPr>
        <w:pStyle w:val="Compact"/>
        <w:numPr>
          <w:ilvl w:val="0"/>
          <w:numId w:val="1007"/>
        </w:numPr>
      </w:pPr>
      <w:r>
        <w:t xml:space="preserve">Satzlänge</w:t>
      </w:r>
    </w:p>
    <w:p>
      <w:pPr>
        <w:pStyle w:val="Compact"/>
        <w:numPr>
          <w:ilvl w:val="0"/>
          <w:numId w:val="1007"/>
        </w:numPr>
      </w:pPr>
      <w:r>
        <w:t xml:space="preserve">Wortschatz</w:t>
      </w:r>
    </w:p>
    <w:p>
      <w:pPr>
        <w:pStyle w:val="Compact"/>
        <w:numPr>
          <w:ilvl w:val="0"/>
          <w:numId w:val="1007"/>
        </w:numPr>
      </w:pPr>
      <w:r>
        <w:t xml:space="preserve">Korrekturen / Rückfragen</w:t>
      </w:r>
    </w:p>
    <w:bookmarkEnd w:id="30"/>
    <w:bookmarkStart w:id="31" w:name="anpassungen"/>
    <w:p>
      <w:pPr>
        <w:pStyle w:val="Heading3"/>
      </w:pPr>
      <w:r>
        <w:t xml:space="preserve">7.2 Anpassungen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Niedrige Literacy</w:t>
            </w:r>
          </w:p>
        </w:tc>
        <w:tc>
          <w:tcPr/>
          <w:p>
            <w:pPr>
              <w:pStyle w:val="Compact"/>
            </w:pPr>
            <w:r>
              <w:t xml:space="preserve">Hohe Literacy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einfache Sprache</w:t>
            </w:r>
          </w:p>
        </w:tc>
        <w:tc>
          <w:tcPr/>
          <w:p>
            <w:pPr>
              <w:pStyle w:val="Compact"/>
            </w:pPr>
            <w:r>
              <w:t xml:space="preserve">präzisere Fachbegriffe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mehr Beispiele</w:t>
            </w:r>
          </w:p>
        </w:tc>
        <w:tc>
          <w:tcPr/>
          <w:p>
            <w:pPr>
              <w:pStyle w:val="Compact"/>
            </w:pPr>
            <w:r>
              <w:t xml:space="preserve">kürzere Nachfragen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bestätigende Wiederholungen</w:t>
            </w:r>
          </w:p>
        </w:tc>
        <w:tc>
          <w:tcPr/>
          <w:p>
            <w:pPr>
              <w:pStyle w:val="Compact"/>
            </w:pPr>
            <w:r>
              <w:t xml:space="preserve">direkte Strukturierung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mehrsprachige-safety-logik"/>
    <w:p>
      <w:pPr>
        <w:pStyle w:val="Heading2"/>
      </w:pPr>
      <w:r>
        <w:t xml:space="preserve">8) Mehrsprachige Safety-Logik</w:t>
      </w:r>
    </w:p>
    <w:p>
      <w:pPr>
        <w:pStyle w:val="Compact"/>
        <w:numPr>
          <w:ilvl w:val="0"/>
          <w:numId w:val="1008"/>
        </w:numPr>
      </w:pPr>
      <w:r>
        <w:t xml:space="preserve">Red-Flag-Fragen immer:</w:t>
      </w:r>
    </w:p>
    <w:p>
      <w:pPr>
        <w:pStyle w:val="Compact"/>
        <w:numPr>
          <w:ilvl w:val="1"/>
          <w:numId w:val="1009"/>
        </w:numPr>
      </w:pPr>
      <w:r>
        <w:t xml:space="preserve">sprachlich einfach</w:t>
      </w:r>
    </w:p>
    <w:p>
      <w:pPr>
        <w:pStyle w:val="Compact"/>
        <w:numPr>
          <w:ilvl w:val="1"/>
          <w:numId w:val="1009"/>
        </w:numPr>
      </w:pPr>
      <w:r>
        <w:t xml:space="preserve">mehrfach redundant formuliert</w:t>
      </w:r>
    </w:p>
    <w:p>
      <w:pPr>
        <w:pStyle w:val="Compact"/>
        <w:numPr>
          <w:ilvl w:val="0"/>
          <w:numId w:val="1008"/>
        </w:numPr>
      </w:pPr>
      <w:r>
        <w:t xml:space="preserve">kulturelle Vermeidung direkter Alarmbegriffe</w:t>
      </w:r>
    </w:p>
    <w:p>
      <w:r>
        <w:pict>
          <v:rect style="width:0;height:1.5pt" o:hralign="center" o:hrstd="t" o:hr="t"/>
        </w:pict>
      </w:r>
    </w:p>
    <w:bookmarkEnd w:id="33"/>
    <w:bookmarkStart w:id="34" w:name="dokumentation-audit"/>
    <w:p>
      <w:pPr>
        <w:pStyle w:val="Heading2"/>
      </w:pPr>
      <w:r>
        <w:t xml:space="preserve">9) Dokumentation &amp; Audit</w:t>
      </w:r>
    </w:p>
    <w:p>
      <w:pPr>
        <w:pStyle w:val="Compact"/>
        <w:numPr>
          <w:ilvl w:val="0"/>
          <w:numId w:val="1010"/>
        </w:numPr>
      </w:pPr>
      <w:r>
        <w:t xml:space="preserve">Originalphrase gespeichert</w:t>
      </w:r>
    </w:p>
    <w:p>
      <w:pPr>
        <w:pStyle w:val="Compact"/>
        <w:numPr>
          <w:ilvl w:val="0"/>
          <w:numId w:val="1010"/>
        </w:numPr>
      </w:pPr>
      <w:r>
        <w:t xml:space="preserve">Normalisierte Entität gespeichert</w:t>
      </w:r>
    </w:p>
    <w:p>
      <w:pPr>
        <w:pStyle w:val="Compact"/>
        <w:numPr>
          <w:ilvl w:val="0"/>
          <w:numId w:val="1010"/>
        </w:numPr>
      </w:pPr>
      <w:r>
        <w:t xml:space="preserve">Rückfragen dokumentiert</w:t>
      </w:r>
    </w:p>
    <w:p>
      <w:pPr>
        <w:pStyle w:val="Compact"/>
        <w:numPr>
          <w:ilvl w:val="0"/>
          <w:numId w:val="1010"/>
        </w:numPr>
      </w:pPr>
      <w:r>
        <w:t xml:space="preserve">Bestätigte Bedeutung markiert</w:t>
      </w:r>
    </w:p>
    <w:p>
      <w:pPr>
        <w:pStyle w:val="FirstParagraph"/>
      </w:pPr>
      <w:r>
        <w:t xml:space="preserve">➡️ Grundlage für</w:t>
      </w:r>
      <w:r>
        <w:t xml:space="preserve"> </w:t>
      </w:r>
      <w:r>
        <w:rPr>
          <w:b/>
          <w:bCs/>
        </w:rPr>
        <w:t xml:space="preserve">Evidence Provenance Tracker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training-wissensbasis"/>
    <w:p>
      <w:pPr>
        <w:pStyle w:val="Heading2"/>
      </w:pPr>
      <w:r>
        <w:t xml:space="preserve">10) Training &amp; Wissensbasis</w:t>
      </w:r>
    </w:p>
    <w:p>
      <w:pPr>
        <w:pStyle w:val="Compact"/>
        <w:numPr>
          <w:ilvl w:val="0"/>
          <w:numId w:val="1011"/>
        </w:numPr>
      </w:pPr>
      <w:r>
        <w:t xml:space="preserve">kuratierte, klinisch annotierte Phrasenlisten</w:t>
      </w:r>
    </w:p>
    <w:p>
      <w:pPr>
        <w:pStyle w:val="Compact"/>
        <w:numPr>
          <w:ilvl w:val="0"/>
          <w:numId w:val="1011"/>
        </w:numPr>
      </w:pPr>
      <w:r>
        <w:t xml:space="preserve">kontinuierliche Erweiterung</w:t>
      </w:r>
    </w:p>
    <w:p>
      <w:pPr>
        <w:pStyle w:val="Compact"/>
        <w:numPr>
          <w:ilvl w:val="0"/>
          <w:numId w:val="1011"/>
        </w:numPr>
      </w:pPr>
      <w:r>
        <w:t xml:space="preserve">Physician Calibration Mode als Feedback-Quelle</w:t>
      </w:r>
    </w:p>
    <w:p>
      <w:r>
        <w:pict>
          <v:rect style="width:0;height:1.5pt" o:hralign="center" o:hrstd="t" o:hr="t"/>
        </w:pict>
      </w:r>
    </w:p>
    <w:bookmarkEnd w:id="35"/>
    <w:bookmarkStart w:id="36" w:name="validierung"/>
    <w:p>
      <w:pPr>
        <w:pStyle w:val="Heading2"/>
      </w:pPr>
      <w:r>
        <w:t xml:space="preserve">11) Validierung</w:t>
      </w:r>
    </w:p>
    <w:p>
      <w:pPr>
        <w:pStyle w:val="Compact"/>
        <w:numPr>
          <w:ilvl w:val="0"/>
          <w:numId w:val="1012"/>
        </w:numPr>
      </w:pPr>
      <w:r>
        <w:t xml:space="preserve">Vergleich: Muttersprachlicher Arzt vs. CRE</w:t>
      </w:r>
    </w:p>
    <w:p>
      <w:pPr>
        <w:pStyle w:val="Compact"/>
        <w:numPr>
          <w:ilvl w:val="0"/>
          <w:numId w:val="1012"/>
        </w:numPr>
      </w:pPr>
      <w:r>
        <w:t xml:space="preserve">KPI: Bedeutungsübereinstimmung</w:t>
      </w:r>
    </w:p>
    <w:p>
      <w:pPr>
        <w:pStyle w:val="Compact"/>
        <w:numPr>
          <w:ilvl w:val="0"/>
          <w:numId w:val="1012"/>
        </w:numPr>
      </w:pPr>
      <w:r>
        <w:t xml:space="preserve">Subgruppen: Migration, Alter, Bildungsgrad</w:t>
      </w:r>
    </w:p>
    <w:p>
      <w:r>
        <w:pict>
          <v:rect style="width:0;height:1.5pt" o:hralign="center" o:hrstd="t" o:hr="t"/>
        </w:pict>
      </w:r>
    </w:p>
    <w:bookmarkEnd w:id="36"/>
    <w:bookmarkStart w:id="37" w:name="abgrenzung"/>
    <w:p>
      <w:pPr>
        <w:pStyle w:val="Heading2"/>
      </w:pPr>
      <w:r>
        <w:t xml:space="preserve">12) Abgrenzung</w:t>
      </w:r>
    </w:p>
    <w:p>
      <w:pPr>
        <w:pStyle w:val="Compact"/>
        <w:numPr>
          <w:ilvl w:val="0"/>
          <w:numId w:val="1013"/>
        </w:numPr>
      </w:pPr>
      <w:r>
        <w:t xml:space="preserve">keine automatische Übersetzung allein</w:t>
      </w:r>
    </w:p>
    <w:p>
      <w:pPr>
        <w:pStyle w:val="Compact"/>
        <w:numPr>
          <w:ilvl w:val="0"/>
          <w:numId w:val="1013"/>
        </w:numPr>
      </w:pPr>
      <w:r>
        <w:t xml:space="preserve">keine kulturelle Zuschreibung ohne Evidenz</w:t>
      </w:r>
    </w:p>
    <w:p>
      <w:pPr>
        <w:pStyle w:val="Compact"/>
        <w:numPr>
          <w:ilvl w:val="0"/>
          <w:numId w:val="1013"/>
        </w:numPr>
      </w:pPr>
      <w:r>
        <w:t xml:space="preserve">keine Diskriminierung / Profiling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Grundlage für globale Skalierung &amp; Equity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FHIR Resource Mapping</w:t>
      </w:r>
      <w:r>
        <w:t xml:space="preserve"> </w:t>
      </w:r>
      <w:r>
        <w:rPr>
          <w:b/>
          <w:bCs/>
        </w:rPr>
        <w:t xml:space="preserve">oder</w:t>
      </w:r>
      <w:r>
        <w:t xml:space="preserve"> </w:t>
      </w:r>
      <w:r>
        <w:t xml:space="preserve">Pädiatrie-/Geriatrie-Adapter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2026-02-09T12:17:35Z</dcterms:created>
  <dcterms:modified xsi:type="dcterms:W3CDTF">2026-02-09T12:17:35Z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