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09c748fc8396b1981f3aa0677cc0d646390038"/>
    <w:p>
      <w:pPr>
        <w:pStyle w:val="Heading1"/>
      </w:pPr>
      <w:r>
        <w:t xml:space="preserve">🧠 CRE REASONING – HYPOTHESEN &amp; UNSICHERHEIT (CANVAS v1)</w:t>
      </w:r>
    </w:p>
    <w:p>
      <w:pPr>
        <w:pStyle w:val="BlockText"/>
      </w:pPr>
      <w:r>
        <w:t xml:space="preserve">Zweck dieses Canvas: Definition der</w:t>
      </w:r>
      <w:r>
        <w:t xml:space="preserve"> </w:t>
      </w:r>
      <w:r>
        <w:rPr>
          <w:b/>
          <w:bCs/>
        </w:rPr>
        <w:t xml:space="preserve">klinischen Denklogik</w:t>
      </w:r>
      <w:r>
        <w:t xml:space="preserve"> </w:t>
      </w:r>
      <w:r>
        <w:t xml:space="preserve">der CRE.</w:t>
      </w:r>
      <w:r>
        <w:br/>
      </w:r>
      <w:r>
        <w:t xml:space="preserve">Fokus: Hypothesenführung, Evidenzgewichtung, Unsicherheitsmanagement, Informationsgewinn, Safety‑Eskalation.</w:t>
      </w:r>
      <w:r>
        <w:br/>
      </w:r>
      <w:r>
        <w:t xml:space="preserve">Ergebnis: Implementierbarer Blueprint für Rules + ML/LLM‑Orchestrierung.</w:t>
      </w:r>
    </w:p>
    <w:p>
      <w:r>
        <w:pict>
          <v:rect style="width:0;height:1.5pt" o:hralign="center" o:hrstd="t" o:hr="t"/>
        </w:pict>
      </w:r>
    </w:p>
    <w:bookmarkStart w:id="20" w:name="medizinisches-grundprinzip"/>
    <w:p>
      <w:pPr>
        <w:pStyle w:val="Heading2"/>
      </w:pPr>
      <w:r>
        <w:t xml:space="preserve">1) Medizinisches Grundprinzip</w:t>
      </w:r>
    </w:p>
    <w:p>
      <w:pPr>
        <w:pStyle w:val="FirstParagraph"/>
      </w:pPr>
      <w:r>
        <w:t xml:space="preserve">Die CRE arbeitet wie ein sehr guter Kliniker:</w:t>
      </w:r>
      <w:r>
        <w:t xml:space="preserve"> </w:t>
      </w:r>
      <w:r>
        <w:t xml:space="preserve">- startet</w:t>
      </w:r>
      <w:r>
        <w:t xml:space="preserve"> </w:t>
      </w:r>
      <w:r>
        <w:rPr>
          <w:b/>
          <w:bCs/>
        </w:rPr>
        <w:t xml:space="preserve">symptombasiert</w:t>
      </w:r>
      <w:r>
        <w:t xml:space="preserve">, nicht diagnosebasiert</w:t>
      </w:r>
      <w:r>
        <w:t xml:space="preserve"> </w:t>
      </w:r>
      <w:r>
        <w:t xml:space="preserve">- exploriert breit, dann fokussiert</w:t>
      </w:r>
      <w:r>
        <w:t xml:space="preserve"> </w:t>
      </w:r>
      <w:r>
        <w:t xml:space="preserve">- prüft Red Flags früh</w:t>
      </w:r>
      <w:r>
        <w:t xml:space="preserve"> </w:t>
      </w:r>
      <w:r>
        <w:t xml:space="preserve">- hält mehrere Erklärungsmodelle parallel („differential set“)</w:t>
      </w:r>
      <w:r>
        <w:t xml:space="preserve"> </w:t>
      </w:r>
      <w:r>
        <w:t xml:space="preserve">- reduziert Unsicherheit durch gezielte Nachfragen und Daten</w:t>
      </w:r>
    </w:p>
    <w:p>
      <w:pPr>
        <w:pStyle w:val="BlockText"/>
      </w:pPr>
      <w:r>
        <w:t xml:space="preserve">Leitmotiv:</w:t>
      </w:r>
      <w:r>
        <w:t xml:space="preserve"> </w:t>
      </w:r>
      <w:r>
        <w:rPr>
          <w:b/>
          <w:bCs/>
        </w:rPr>
        <w:t xml:space="preserve">„Strukturieren statt Diagnostizieren“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kernobjekte-reasoning-data-model"/>
    <w:p>
      <w:pPr>
        <w:pStyle w:val="Heading2"/>
      </w:pPr>
      <w:r>
        <w:t xml:space="preserve">2) Kernobjekte (Reasoning Data Model)</w:t>
      </w:r>
    </w:p>
    <w:bookmarkStart w:id="21" w:name="evidenceitem-aus-intake-package"/>
    <w:p>
      <w:pPr>
        <w:pStyle w:val="Heading3"/>
      </w:pPr>
      <w:r>
        <w:t xml:space="preserve">2.1 EvidenceItem (aus Intake Package)</w:t>
      </w:r>
    </w:p>
    <w:p>
      <w:pPr>
        <w:pStyle w:val="Compact"/>
        <w:numPr>
          <w:ilvl w:val="0"/>
          <w:numId w:val="1001"/>
        </w:numPr>
      </w:pPr>
      <w:r>
        <w:t xml:space="preserve">Quelle, Zeitpunkt, Inhalt, Sicherheit</w:t>
      </w:r>
    </w:p>
    <w:bookmarkEnd w:id="21"/>
    <w:bookmarkStart w:id="22" w:name="clinicalfinding-abgeleitet"/>
    <w:p>
      <w:pPr>
        <w:pStyle w:val="Heading3"/>
      </w:pPr>
      <w:r>
        <w:t xml:space="preserve">2.2 ClinicalFinding (abgeleitet)</w:t>
      </w:r>
    </w:p>
    <w:p>
      <w:pPr>
        <w:pStyle w:val="Compact"/>
        <w:numPr>
          <w:ilvl w:val="0"/>
          <w:numId w:val="1002"/>
        </w:numPr>
      </w:pPr>
      <w:r>
        <w:t xml:space="preserve">normalisierte Zusammenfassung aus mehreren EvidenceItems</w:t>
      </w:r>
    </w:p>
    <w:p>
      <w:pPr>
        <w:pStyle w:val="Compact"/>
        <w:numPr>
          <w:ilvl w:val="0"/>
          <w:numId w:val="1002"/>
        </w:numPr>
      </w:pPr>
      <w:r>
        <w:t xml:space="preserve">Beispiel: „Belastungsabhängige Palpitationen, episodisch, seit 6 Wochen“</w:t>
      </w:r>
    </w:p>
    <w:bookmarkEnd w:id="22"/>
    <w:bookmarkStart w:id="23" w:name="hypothesis-intern"/>
    <w:p>
      <w:pPr>
        <w:pStyle w:val="Heading3"/>
      </w:pPr>
      <w:r>
        <w:t xml:space="preserve">2.3 Hypothesis (intern)</w:t>
      </w:r>
    </w:p>
    <w:p>
      <w:pPr>
        <w:pStyle w:val="FirstParagraph"/>
      </w:pPr>
      <w:r>
        <w:t xml:space="preserve">Jede Hypothese ist ein Objekt mit: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</w:t>
      </w:r>
      <w:r>
        <w:t xml:space="preserve">: Name (intern, nie patientensichtbar)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 Tags</w:t>
      </w:r>
      <w:r>
        <w:t xml:space="preserve">: (cardio, neuro, endo, psych 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E+</w:t>
      </w:r>
      <w:r>
        <w:t xml:space="preserve">: stützende Evidenz (EvidenceIDs)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E−</w:t>
      </w:r>
      <w:r>
        <w:t xml:space="preserve">: widersprechende Evidenz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</w:t>
      </w:r>
      <w:r>
        <w:t xml:space="preserve">: Unsicherheitsmaß (0–1)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: Safety Weight (0–1) – höher = sicherheitskritisch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IG</w:t>
      </w:r>
      <w:r>
        <w:t xml:space="preserve">: erwarteter Informationsgewinn nächster Frage (0–1)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Qnext</w:t>
      </w:r>
      <w:r>
        <w:t xml:space="preserve">: Next‑Best‑Questions (max. 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Dnext</w:t>
      </w:r>
      <w:r>
        <w:t xml:space="preserve">: Next‑Best‑Data (z. B. RR, Holter, Labor)</w:t>
      </w:r>
    </w:p>
    <w:bookmarkEnd w:id="23"/>
    <w:bookmarkStart w:id="24" w:name="differential-set"/>
    <w:p>
      <w:pPr>
        <w:pStyle w:val="Heading3"/>
      </w:pPr>
      <w:r>
        <w:t xml:space="preserve">2.4 Differential Set</w:t>
      </w:r>
    </w:p>
    <w:p>
      <w:pPr>
        <w:pStyle w:val="Compact"/>
        <w:numPr>
          <w:ilvl w:val="0"/>
          <w:numId w:val="1003"/>
        </w:numPr>
      </w:pPr>
      <w:r>
        <w:t xml:space="preserve">Menge aktiver Hypothesen (typisch 5–20)</w:t>
      </w:r>
    </w:p>
    <w:p>
      <w:pPr>
        <w:pStyle w:val="Compact"/>
        <w:numPr>
          <w:ilvl w:val="0"/>
          <w:numId w:val="1003"/>
        </w:numPr>
      </w:pPr>
      <w:r>
        <w:t xml:space="preserve">Priorisierung = Funktion aus E+, E−, U, 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reasoningablauf-state-machine"/>
    <w:p>
      <w:pPr>
        <w:pStyle w:val="Heading2"/>
      </w:pPr>
      <w:r>
        <w:t xml:space="preserve">3) Reasoning‑Ablauf (State Machine)</w:t>
      </w:r>
    </w:p>
    <w:bookmarkStart w:id="26" w:name="state-0-intake-start"/>
    <w:p>
      <w:pPr>
        <w:pStyle w:val="Heading3"/>
      </w:pPr>
      <w:r>
        <w:t xml:space="preserve">State 0 – Intake Start</w:t>
      </w:r>
    </w:p>
    <w:p>
      <w:pPr>
        <w:pStyle w:val="Compact"/>
        <w:numPr>
          <w:ilvl w:val="0"/>
          <w:numId w:val="1004"/>
        </w:numPr>
      </w:pPr>
      <w:r>
        <w:t xml:space="preserve">Chief complaint</w:t>
      </w:r>
    </w:p>
    <w:p>
      <w:pPr>
        <w:pStyle w:val="Compact"/>
        <w:numPr>
          <w:ilvl w:val="0"/>
          <w:numId w:val="1004"/>
        </w:numPr>
      </w:pPr>
      <w:r>
        <w:t xml:space="preserve">Kontext (Alter, Setting)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sofortiger Red‑Flag Screen</w:t>
      </w:r>
      <w:r>
        <w:t xml:space="preserve"> </w:t>
      </w:r>
      <w:r>
        <w:t xml:space="preserve">(grob)</w:t>
      </w:r>
    </w:p>
    <w:bookmarkEnd w:id="26"/>
    <w:bookmarkStart w:id="27" w:name="state-1-open-exploration"/>
    <w:p>
      <w:pPr>
        <w:pStyle w:val="Heading3"/>
      </w:pPr>
      <w:r>
        <w:t xml:space="preserve">State 1 – Open Exploration</w:t>
      </w:r>
    </w:p>
    <w:p>
      <w:pPr>
        <w:pStyle w:val="Compact"/>
        <w:numPr>
          <w:ilvl w:val="0"/>
          <w:numId w:val="1005"/>
        </w:numPr>
      </w:pPr>
      <w:r>
        <w:t xml:space="preserve">narrative Fragen: „Erzählen Sie…“</w:t>
      </w:r>
    </w:p>
    <w:p>
      <w:pPr>
        <w:pStyle w:val="Compact"/>
        <w:numPr>
          <w:ilvl w:val="0"/>
          <w:numId w:val="1005"/>
        </w:numPr>
      </w:pPr>
      <w:r>
        <w:t xml:space="preserve">Ziel: symptom space abdecken, Timeline erstellen</w:t>
      </w:r>
    </w:p>
    <w:bookmarkEnd w:id="27"/>
    <w:bookmarkStart w:id="28" w:name="state-2-structured-clarification"/>
    <w:p>
      <w:pPr>
        <w:pStyle w:val="Heading3"/>
      </w:pPr>
      <w:r>
        <w:t xml:space="preserve">State 2 – Structured Clarification</w:t>
      </w:r>
    </w:p>
    <w:p>
      <w:pPr>
        <w:pStyle w:val="Compact"/>
        <w:numPr>
          <w:ilvl w:val="0"/>
          <w:numId w:val="1006"/>
        </w:numPr>
      </w:pPr>
      <w:r>
        <w:t xml:space="preserve">OLDCARTS / OPQRST</w:t>
      </w:r>
    </w:p>
    <w:p>
      <w:pPr>
        <w:pStyle w:val="Compact"/>
        <w:numPr>
          <w:ilvl w:val="0"/>
          <w:numId w:val="1006"/>
        </w:numPr>
      </w:pPr>
      <w:r>
        <w:t xml:space="preserve">ROS‑Module, aber adaptiv (nur relevante Systeme)</w:t>
      </w:r>
    </w:p>
    <w:bookmarkEnd w:id="28"/>
    <w:bookmarkStart w:id="29" w:name="state-3-hypothesis-expansion"/>
    <w:p>
      <w:pPr>
        <w:pStyle w:val="Heading3"/>
      </w:pPr>
      <w:r>
        <w:t xml:space="preserve">State 3 – Hypothesis Expansion</w:t>
      </w:r>
    </w:p>
    <w:p>
      <w:pPr>
        <w:pStyle w:val="Compact"/>
        <w:numPr>
          <w:ilvl w:val="0"/>
          <w:numId w:val="1007"/>
        </w:numPr>
      </w:pPr>
      <w:r>
        <w:t xml:space="preserve">Hypothesenbibliothek + priors (domänenabhängig)</w:t>
      </w:r>
    </w:p>
    <w:p>
      <w:pPr>
        <w:pStyle w:val="Compact"/>
        <w:numPr>
          <w:ilvl w:val="0"/>
          <w:numId w:val="1007"/>
        </w:numPr>
      </w:pPr>
      <w:r>
        <w:t xml:space="preserve">Generierung Differential Set</w:t>
      </w:r>
    </w:p>
    <w:p>
      <w:pPr>
        <w:pStyle w:val="Compact"/>
        <w:numPr>
          <w:ilvl w:val="0"/>
          <w:numId w:val="1007"/>
        </w:numPr>
      </w:pPr>
      <w:r>
        <w:t xml:space="preserve">Kennzeichnung sicherheitskritischer Hypothesen (S↑)</w:t>
      </w:r>
    </w:p>
    <w:bookmarkEnd w:id="29"/>
    <w:bookmarkStart w:id="30" w:name="state-4-hypothesis-testing"/>
    <w:p>
      <w:pPr>
        <w:pStyle w:val="Heading3"/>
      </w:pPr>
      <w:r>
        <w:t xml:space="preserve">State 4 – Hypothesis Testing</w:t>
      </w:r>
    </w:p>
    <w:p>
      <w:pPr>
        <w:pStyle w:val="Compact"/>
        <w:numPr>
          <w:ilvl w:val="0"/>
          <w:numId w:val="1008"/>
        </w:numPr>
      </w:pPr>
      <w:r>
        <w:t xml:space="preserve">Next‑Best‑Questions nach maximalem Informationsgewinn</w:t>
      </w:r>
    </w:p>
    <w:p>
      <w:pPr>
        <w:pStyle w:val="Compact"/>
        <w:numPr>
          <w:ilvl w:val="0"/>
          <w:numId w:val="1008"/>
        </w:numPr>
      </w:pPr>
      <w:r>
        <w:t xml:space="preserve">Konsistenzchecks, Widerspruchsauflösung</w:t>
      </w:r>
    </w:p>
    <w:bookmarkEnd w:id="30"/>
    <w:bookmarkStart w:id="31" w:name="state-5-data-planning-nicht-therapie"/>
    <w:p>
      <w:pPr>
        <w:pStyle w:val="Heading3"/>
      </w:pPr>
      <w:r>
        <w:t xml:space="preserve">State 5 – Data Planning (nicht Therapie)</w:t>
      </w:r>
    </w:p>
    <w:p>
      <w:pPr>
        <w:pStyle w:val="Compact"/>
        <w:numPr>
          <w:ilvl w:val="0"/>
          <w:numId w:val="1009"/>
        </w:numPr>
      </w:pPr>
      <w:r>
        <w:t xml:space="preserve">Empfehlung „Welche Daten fehlen?“ (als Vorschlag für Arzt/Workflow)</w:t>
      </w:r>
    </w:p>
    <w:p>
      <w:pPr>
        <w:pStyle w:val="Compact"/>
        <w:numPr>
          <w:ilvl w:val="0"/>
          <w:numId w:val="1009"/>
        </w:numPr>
      </w:pPr>
      <w:r>
        <w:t xml:space="preserve">z. B. Holter, RR‑Profil, Labor, Echo</w:t>
      </w:r>
    </w:p>
    <w:bookmarkEnd w:id="31"/>
    <w:bookmarkStart w:id="32" w:name="state-6-summarization"/>
    <w:p>
      <w:pPr>
        <w:pStyle w:val="Heading3"/>
      </w:pPr>
      <w:r>
        <w:t xml:space="preserve">State 6 – Summarization</w:t>
      </w:r>
    </w:p>
    <w:p>
      <w:pPr>
        <w:pStyle w:val="Compact"/>
        <w:numPr>
          <w:ilvl w:val="0"/>
          <w:numId w:val="1010"/>
        </w:numPr>
      </w:pPr>
      <w:r>
        <w:t xml:space="preserve">narrative Anamnese</w:t>
      </w:r>
    </w:p>
    <w:p>
      <w:pPr>
        <w:pStyle w:val="Compact"/>
        <w:numPr>
          <w:ilvl w:val="0"/>
          <w:numId w:val="1010"/>
        </w:numPr>
      </w:pPr>
      <w:r>
        <w:t xml:space="preserve">strukturierte Anamnese</w:t>
      </w:r>
    </w:p>
    <w:p>
      <w:pPr>
        <w:pStyle w:val="Compact"/>
        <w:numPr>
          <w:ilvl w:val="0"/>
          <w:numId w:val="1010"/>
        </w:numPr>
      </w:pPr>
      <w:r>
        <w:t xml:space="preserve">Kurzanamnese</w:t>
      </w:r>
    </w:p>
    <w:p>
      <w:pPr>
        <w:pStyle w:val="Compact"/>
        <w:numPr>
          <w:ilvl w:val="0"/>
          <w:numId w:val="1010"/>
        </w:numPr>
      </w:pPr>
      <w:r>
        <w:t xml:space="preserve">Red‑Flags + offene Fragen</w:t>
      </w:r>
    </w:p>
    <w:p>
      <w:pPr>
        <w:pStyle w:val="Block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definierte Mindestvollständigkeit oder Patient beendet.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evidenzgewichtung-e-e"/>
    <w:p>
      <w:pPr>
        <w:pStyle w:val="Heading2"/>
      </w:pPr>
      <w:r>
        <w:t xml:space="preserve">4) Evidenzgewichtung (E+, E−)</w:t>
      </w:r>
    </w:p>
    <w:bookmarkStart w:id="34" w:name="gewichtungsregeln"/>
    <w:p>
      <w:pPr>
        <w:pStyle w:val="Heading3"/>
      </w:pPr>
      <w:r>
        <w:t xml:space="preserve">4.1 Gewichtungsregeln</w:t>
      </w:r>
    </w:p>
    <w:p>
      <w:pPr>
        <w:pStyle w:val="FirstParagraph"/>
      </w:pPr>
      <w:r>
        <w:t xml:space="preserve">Evidenz erhält Gewichte nach:</w:t>
      </w:r>
      <w:r>
        <w:t xml:space="preserve"> </w:t>
      </w:r>
      <w:r>
        <w:t xml:space="preserve">- Quelle (objektiv &gt; subjektiv)</w:t>
      </w:r>
      <w:r>
        <w:t xml:space="preserve"> </w:t>
      </w:r>
      <w:r>
        <w:t xml:space="preserve">- Zeitnähe (aktuelles &gt; altes)</w:t>
      </w:r>
      <w:r>
        <w:t xml:space="preserve"> </w:t>
      </w:r>
      <w:r>
        <w:t xml:space="preserve">- Spezifität (spezifisch &gt; unspezifisch)</w:t>
      </w:r>
      <w:r>
        <w:t xml:space="preserve"> </w:t>
      </w:r>
      <w:r>
        <w:t xml:space="preserve">- Zuverlässigkeit (hoch &gt; niedrig)</w:t>
      </w:r>
    </w:p>
    <w:p>
      <w:pPr>
        <w:pStyle w:val="BodyText"/>
      </w:pPr>
      <w:r>
        <w:t xml:space="preserve">Beispiel:</w:t>
      </w:r>
      <w:r>
        <w:t xml:space="preserve"> </w:t>
      </w:r>
      <w:r>
        <w:t xml:space="preserve">- dokumentiertes EKG‑Ereignis &gt; Patientenerzählung</w:t>
      </w:r>
      <w:r>
        <w:t xml:space="preserve"> </w:t>
      </w:r>
      <w:r>
        <w:t xml:space="preserve">- Synkope mit Verletzung &gt; „fast schwarz vor Augen“</w:t>
      </w:r>
    </w:p>
    <w:bookmarkEnd w:id="34"/>
    <w:bookmarkStart w:id="35" w:name="negative-evidence-relevante-negativa"/>
    <w:p>
      <w:pPr>
        <w:pStyle w:val="Heading3"/>
      </w:pPr>
      <w:r>
        <w:t xml:space="preserve">4.2 Negative Evidence (Relevante Negativa)</w:t>
      </w:r>
    </w:p>
    <w:p>
      <w:pPr>
        <w:pStyle w:val="Compact"/>
        <w:numPr>
          <w:ilvl w:val="0"/>
          <w:numId w:val="1011"/>
        </w:numPr>
      </w:pPr>
      <w:r>
        <w:t xml:space="preserve">explizite Negativa sind wertvoll (z. B. „kein Thoraxschmerz“)</w:t>
      </w:r>
    </w:p>
    <w:p>
      <w:pPr>
        <w:pStyle w:val="Compact"/>
        <w:numPr>
          <w:ilvl w:val="0"/>
          <w:numId w:val="1011"/>
        </w:numPr>
      </w:pPr>
      <w:r>
        <w:t xml:space="preserve">fehlende Information ≠ Negativ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unsicherheit-u-explizit-gemanagt"/>
    <w:p>
      <w:pPr>
        <w:pStyle w:val="Heading2"/>
      </w:pPr>
      <w:r>
        <w:t xml:space="preserve">5) Unsicherheit (U) – explizit gemanagt</w:t>
      </w:r>
    </w:p>
    <w:bookmarkStart w:id="37" w:name="arten-von-unsicherheit"/>
    <w:p>
      <w:pPr>
        <w:pStyle w:val="Heading3"/>
      </w:pPr>
      <w:r>
        <w:t xml:space="preserve">5.1 Arten von Unsicherheit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Datenunsicherheit:</w:t>
      </w:r>
      <w:r>
        <w:t xml:space="preserve"> </w:t>
      </w:r>
      <w:r>
        <w:t xml:space="preserve">Messfehler, fehlende Daten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Konzeptunsicherheit:</w:t>
      </w:r>
      <w:r>
        <w:t xml:space="preserve"> </w:t>
      </w:r>
      <w:r>
        <w:t xml:space="preserve">unklare Symptombegriffe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Konfliktunsicherheit:</w:t>
      </w:r>
      <w:r>
        <w:t xml:space="preserve"> </w:t>
      </w:r>
      <w:r>
        <w:t xml:space="preserve">widersprüchliche Angaben</w:t>
      </w:r>
    </w:p>
    <w:bookmarkEnd w:id="37"/>
    <w:bookmarkStart w:id="38" w:name="unsicherheitsreduktion"/>
    <w:p>
      <w:pPr>
        <w:pStyle w:val="Heading3"/>
      </w:pPr>
      <w:r>
        <w:t xml:space="preserve">5.2 Unsicherheitsreduktion</w:t>
      </w:r>
    </w:p>
    <w:p>
      <w:pPr>
        <w:pStyle w:val="Compact"/>
        <w:numPr>
          <w:ilvl w:val="0"/>
          <w:numId w:val="1013"/>
        </w:numPr>
      </w:pPr>
      <w:r>
        <w:t xml:space="preserve">definierte Clarification‑Prompts</w:t>
      </w:r>
    </w:p>
    <w:p>
      <w:pPr>
        <w:pStyle w:val="Compact"/>
        <w:numPr>
          <w:ilvl w:val="0"/>
          <w:numId w:val="1013"/>
        </w:numPr>
      </w:pPr>
      <w:r>
        <w:t xml:space="preserve">Rückfragen in Alltagssprache</w:t>
      </w:r>
    </w:p>
    <w:p>
      <w:pPr>
        <w:pStyle w:val="Compact"/>
        <w:numPr>
          <w:ilvl w:val="0"/>
          <w:numId w:val="1013"/>
        </w:numPr>
      </w:pPr>
      <w:r>
        <w:t xml:space="preserve">„Teach‑back“: kurze Wiederholung zur Validierung</w:t>
      </w:r>
    </w:p>
    <w:bookmarkEnd w:id="38"/>
    <w:bookmarkStart w:id="39" w:name="outputregel"/>
    <w:p>
      <w:pPr>
        <w:pStyle w:val="Heading3"/>
      </w:pPr>
      <w:r>
        <w:t xml:space="preserve">5.3 Output‑Regel</w:t>
      </w:r>
    </w:p>
    <w:p>
      <w:pPr>
        <w:pStyle w:val="Compact"/>
        <w:numPr>
          <w:ilvl w:val="0"/>
          <w:numId w:val="1014"/>
        </w:numPr>
      </w:pPr>
      <w:r>
        <w:t xml:space="preserve">U bleibt intern; nach außen werden „offene Fragen“ und „Empfehlung zusätzlicher Daten“ ausgegeben.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nextbestquestion-nbq-informationsgewinn"/>
    <w:p>
      <w:pPr>
        <w:pStyle w:val="Heading2"/>
      </w:pPr>
      <w:r>
        <w:t xml:space="preserve">6) Next‑Best‑Question (NBQ) – Informationsgewinn</w:t>
      </w:r>
    </w:p>
    <w:p>
      <w:pPr>
        <w:pStyle w:val="FirstParagraph"/>
      </w:pPr>
      <w:r>
        <w:t xml:space="preserve">Ziel: mit minimalen Fragen maximal klären.</w:t>
      </w:r>
    </w:p>
    <w:bookmarkStart w:id="41" w:name="nbqheuristik"/>
    <w:p>
      <w:pPr>
        <w:pStyle w:val="Heading3"/>
      </w:pPr>
      <w:r>
        <w:t xml:space="preserve">6.1 NBQ‑Heuristik</w:t>
      </w:r>
    </w:p>
    <w:p>
      <w:pPr>
        <w:pStyle w:val="FirstParagraph"/>
      </w:pPr>
      <w:r>
        <w:t xml:space="preserve">NBQ Score = IG × S × (1 − Burden)</w:t>
      </w:r>
      <w:r>
        <w:t xml:space="preserve"> </w:t>
      </w:r>
      <w:r>
        <w:t xml:space="preserve">- IG: erwarteter Informationsgewinn</w:t>
      </w:r>
      <w:r>
        <w:t xml:space="preserve"> </w:t>
      </w:r>
      <w:r>
        <w:t xml:space="preserve">- S: Safety Weight</w:t>
      </w:r>
      <w:r>
        <w:t xml:space="preserve"> </w:t>
      </w:r>
      <w:r>
        <w:t xml:space="preserve">- Burden: Fragebelastung (komplex/privat/zeitaufwändig)</w:t>
      </w:r>
    </w:p>
    <w:bookmarkEnd w:id="41"/>
    <w:bookmarkStart w:id="42" w:name="fragetypen"/>
    <w:p>
      <w:pPr>
        <w:pStyle w:val="Heading3"/>
      </w:pPr>
      <w:r>
        <w:t xml:space="preserve">6.2 Fragetypen</w:t>
      </w:r>
    </w:p>
    <w:p>
      <w:pPr>
        <w:pStyle w:val="Compact"/>
        <w:numPr>
          <w:ilvl w:val="0"/>
          <w:numId w:val="1015"/>
        </w:numPr>
      </w:pPr>
      <w:r>
        <w:t xml:space="preserve">Klärung der Zeitachse</w:t>
      </w:r>
    </w:p>
    <w:p>
      <w:pPr>
        <w:pStyle w:val="Compact"/>
        <w:numPr>
          <w:ilvl w:val="0"/>
          <w:numId w:val="1015"/>
        </w:numPr>
      </w:pPr>
      <w:r>
        <w:t xml:space="preserve">Trigger/Linderung</w:t>
      </w:r>
    </w:p>
    <w:p>
      <w:pPr>
        <w:pStyle w:val="Compact"/>
        <w:numPr>
          <w:ilvl w:val="0"/>
          <w:numId w:val="1015"/>
        </w:numPr>
      </w:pPr>
      <w:r>
        <w:t xml:space="preserve">Red‑Flag‑Abfrage</w:t>
      </w:r>
    </w:p>
    <w:p>
      <w:pPr>
        <w:pStyle w:val="Compact"/>
        <w:numPr>
          <w:ilvl w:val="0"/>
          <w:numId w:val="1015"/>
        </w:numPr>
      </w:pPr>
      <w:r>
        <w:t xml:space="preserve">Systemreview (adaptiv)</w:t>
      </w:r>
    </w:p>
    <w:p>
      <w:pPr>
        <w:pStyle w:val="Compact"/>
        <w:numPr>
          <w:ilvl w:val="0"/>
          <w:numId w:val="1015"/>
        </w:numPr>
      </w:pPr>
      <w:r>
        <w:t xml:space="preserve">Medikamenten-/Substanz‑Abfrage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afety-layer-im-reasoning-red-flags"/>
    <w:p>
      <w:pPr>
        <w:pStyle w:val="Heading2"/>
      </w:pPr>
      <w:r>
        <w:t xml:space="preserve">7) Safety Layer im Reasoning (Red Flags)</w:t>
      </w:r>
    </w:p>
    <w:bookmarkStart w:id="44" w:name="redflag-trigger"/>
    <w:p>
      <w:pPr>
        <w:pStyle w:val="Heading3"/>
      </w:pPr>
      <w:r>
        <w:t xml:space="preserve">7.1 Red‑Flag Trigger</w:t>
      </w:r>
    </w:p>
    <w:p>
      <w:pPr>
        <w:pStyle w:val="Compact"/>
        <w:numPr>
          <w:ilvl w:val="0"/>
          <w:numId w:val="1016"/>
        </w:numPr>
      </w:pPr>
      <w:r>
        <w:t xml:space="preserve">definierte Red‑Flags pro Domäne</w:t>
      </w:r>
    </w:p>
    <w:p>
      <w:pPr>
        <w:pStyle w:val="Compact"/>
        <w:numPr>
          <w:ilvl w:val="0"/>
          <w:numId w:val="1016"/>
        </w:numPr>
      </w:pPr>
      <w:r>
        <w:t xml:space="preserve">Erkennung früh (State 0–2) und iterativ</w:t>
      </w:r>
    </w:p>
    <w:bookmarkEnd w:id="44"/>
    <w:bookmarkStart w:id="45" w:name="eskalationsstufen"/>
    <w:p>
      <w:pPr>
        <w:pStyle w:val="Heading3"/>
      </w:pPr>
      <w:r>
        <w:t xml:space="preserve">7.2 Eskalationsstufen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 Stop:</w:t>
      </w:r>
      <w:r>
        <w:t xml:space="preserve"> </w:t>
      </w:r>
      <w:r>
        <w:t xml:space="preserve">sofortiger Hinweis + Arztkontakt erforderlich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Priority Review:</w:t>
      </w:r>
      <w:r>
        <w:t xml:space="preserve"> </w:t>
      </w:r>
      <w:r>
        <w:t xml:space="preserve">Output nur als Draft; Arzt muss prüfen</w:t>
      </w:r>
    </w:p>
    <w:bookmarkEnd w:id="45"/>
    <w:bookmarkStart w:id="46" w:name="safety-overrides"/>
    <w:p>
      <w:pPr>
        <w:pStyle w:val="Heading3"/>
      </w:pPr>
      <w:r>
        <w:t xml:space="preserve">7.3 Safety Overrides</w:t>
      </w:r>
    </w:p>
    <w:p>
      <w:pPr>
        <w:pStyle w:val="Compact"/>
        <w:numPr>
          <w:ilvl w:val="0"/>
          <w:numId w:val="1018"/>
        </w:numPr>
      </w:pPr>
      <w:r>
        <w:t xml:space="preserve">auch bei niedriger Evidenz kann S↑ eine Eskalation auslösen (Präventionsprinzip).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konsistenz--plausibilitätschecks"/>
    <w:p>
      <w:pPr>
        <w:pStyle w:val="Heading2"/>
      </w:pPr>
      <w:r>
        <w:t xml:space="preserve">8) Konsistenz- &amp; Plausibilitätschecks</w:t>
      </w:r>
    </w:p>
    <w:p>
      <w:pPr>
        <w:pStyle w:val="Compact"/>
        <w:numPr>
          <w:ilvl w:val="0"/>
          <w:numId w:val="1019"/>
        </w:numPr>
      </w:pPr>
      <w:r>
        <w:t xml:space="preserve">zeitliche Widersprüche (z. B. „seit 2 Jahren“ und „seit 3 Monaten“)</w:t>
      </w:r>
    </w:p>
    <w:p>
      <w:pPr>
        <w:pStyle w:val="Compact"/>
        <w:numPr>
          <w:ilvl w:val="0"/>
          <w:numId w:val="1019"/>
        </w:numPr>
      </w:pPr>
      <w:r>
        <w:t xml:space="preserve">physiologische Unplausibilität (optional, vorsichtig)</w:t>
      </w:r>
    </w:p>
    <w:p>
      <w:pPr>
        <w:pStyle w:val="Compact"/>
        <w:numPr>
          <w:ilvl w:val="0"/>
          <w:numId w:val="1019"/>
        </w:numPr>
      </w:pPr>
      <w:r>
        <w:t xml:space="preserve">Medikamenteninteraktionen als Hinweis (nicht Empfehlung)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- „Inconsistencies_detected“ + konkrete Klärfragen</w:t>
      </w:r>
    </w:p>
    <w:p>
      <w:r>
        <w:pict>
          <v:rect style="width:0;height:1.5pt" o:hralign="center" o:hrstd="t" o:hr="t"/>
        </w:pict>
      </w:r>
    </w:p>
    <w:bookmarkEnd w:id="48"/>
    <w:bookmarkStart w:id="51" w:name="domänenneutralität-adaptereinfluss"/>
    <w:p>
      <w:pPr>
        <w:pStyle w:val="Heading2"/>
      </w:pPr>
      <w:r>
        <w:t xml:space="preserve">9) Domänenneutralität &amp; Adapter‑Einfluss</w:t>
      </w:r>
    </w:p>
    <w:bookmarkStart w:id="49" w:name="domänenneutraler-core"/>
    <w:p>
      <w:pPr>
        <w:pStyle w:val="Heading3"/>
      </w:pPr>
      <w:r>
        <w:t xml:space="preserve">9.1 Domänenneutraler Core</w:t>
      </w:r>
    </w:p>
    <w:p>
      <w:pPr>
        <w:pStyle w:val="Compact"/>
        <w:numPr>
          <w:ilvl w:val="0"/>
          <w:numId w:val="1020"/>
        </w:numPr>
      </w:pPr>
      <w:r>
        <w:t xml:space="preserve">Reasoning‑States 0–6 sind identisch</w:t>
      </w:r>
    </w:p>
    <w:bookmarkEnd w:id="49"/>
    <w:bookmarkStart w:id="50" w:name="adapterparameter"/>
    <w:p>
      <w:pPr>
        <w:pStyle w:val="Heading3"/>
      </w:pPr>
      <w:r>
        <w:t xml:space="preserve">9.2 Adapter‑Parameter</w:t>
      </w:r>
    </w:p>
    <w:p>
      <w:pPr>
        <w:pStyle w:val="Compact"/>
        <w:numPr>
          <w:ilvl w:val="0"/>
          <w:numId w:val="1021"/>
        </w:numPr>
      </w:pPr>
      <w:r>
        <w:t xml:space="preserve">priors für Hypothesenbibliothek</w:t>
      </w:r>
    </w:p>
    <w:p>
      <w:pPr>
        <w:pStyle w:val="Compact"/>
        <w:numPr>
          <w:ilvl w:val="0"/>
          <w:numId w:val="1021"/>
        </w:numPr>
      </w:pPr>
      <w:r>
        <w:t xml:space="preserve">Red‑Flag‑Set</w:t>
      </w:r>
    </w:p>
    <w:p>
      <w:pPr>
        <w:pStyle w:val="Compact"/>
        <w:numPr>
          <w:ilvl w:val="0"/>
          <w:numId w:val="1021"/>
        </w:numPr>
      </w:pPr>
      <w:r>
        <w:t xml:space="preserve">Fragebibliothek</w:t>
      </w:r>
    </w:p>
    <w:p>
      <w:pPr>
        <w:pStyle w:val="Compact"/>
        <w:numPr>
          <w:ilvl w:val="0"/>
          <w:numId w:val="1021"/>
        </w:numPr>
      </w:pPr>
      <w:r>
        <w:t xml:space="preserve">Output‑Templates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utputs-aus-dem-reasoning"/>
    <w:p>
      <w:pPr>
        <w:pStyle w:val="Heading2"/>
      </w:pPr>
      <w:r>
        <w:t xml:space="preserve">10) Outputs aus dem Reasoning</w:t>
      </w:r>
    </w:p>
    <w:p>
      <w:pPr>
        <w:pStyle w:val="Compact"/>
        <w:numPr>
          <w:ilvl w:val="0"/>
          <w:numId w:val="1022"/>
        </w:numPr>
      </w:pPr>
      <w:r>
        <w:t xml:space="preserve">Hypothesenobjekte (intern)</w:t>
      </w:r>
    </w:p>
    <w:p>
      <w:pPr>
        <w:pStyle w:val="Compact"/>
        <w:numPr>
          <w:ilvl w:val="0"/>
          <w:numId w:val="1022"/>
        </w:numPr>
      </w:pPr>
      <w:r>
        <w:t xml:space="preserve">offene Fragen (extern)</w:t>
      </w:r>
    </w:p>
    <w:p>
      <w:pPr>
        <w:pStyle w:val="Compact"/>
        <w:numPr>
          <w:ilvl w:val="0"/>
          <w:numId w:val="1022"/>
        </w:numPr>
      </w:pPr>
      <w:r>
        <w:t xml:space="preserve">Red‑Flag‑Eskalation (extern)</w:t>
      </w:r>
    </w:p>
    <w:p>
      <w:pPr>
        <w:pStyle w:val="Compact"/>
        <w:numPr>
          <w:ilvl w:val="0"/>
          <w:numId w:val="1022"/>
        </w:numPr>
      </w:pPr>
      <w:r>
        <w:t xml:space="preserve">Datenplan (extern, als Vorschlag)</w:t>
      </w:r>
    </w:p>
    <w:p>
      <w:r>
        <w:pict>
          <v:rect style="width:0;height:1.5pt" o:hralign="center" o:hrstd="t" o:hr="t"/>
        </w:pict>
      </w:r>
    </w:p>
    <w:bookmarkEnd w:id="52"/>
    <w:bookmarkStart w:id="53" w:name="implementationshinweise-pragmatisch"/>
    <w:p>
      <w:pPr>
        <w:pStyle w:val="Heading2"/>
      </w:pPr>
      <w:r>
        <w:t xml:space="preserve">11) Implementationshinweise (pragmatisch)</w:t>
      </w:r>
    </w:p>
    <w:p>
      <w:pPr>
        <w:pStyle w:val="Compact"/>
        <w:numPr>
          <w:ilvl w:val="0"/>
          <w:numId w:val="1023"/>
        </w:numPr>
      </w:pPr>
      <w:r>
        <w:t xml:space="preserve">Rules first (Sicherheit, Red Flags, Mindestfragen)</w:t>
      </w:r>
    </w:p>
    <w:p>
      <w:pPr>
        <w:pStyle w:val="Compact"/>
        <w:numPr>
          <w:ilvl w:val="0"/>
          <w:numId w:val="1023"/>
        </w:numPr>
      </w:pPr>
      <w:r>
        <w:t xml:space="preserve">LLM orchestriert Sprache, Zusammenfassung, Normalisierung</w:t>
      </w:r>
    </w:p>
    <w:p>
      <w:pPr>
        <w:pStyle w:val="Compact"/>
        <w:numPr>
          <w:ilvl w:val="0"/>
          <w:numId w:val="1023"/>
        </w:numPr>
      </w:pPr>
      <w:r>
        <w:t xml:space="preserve">probabilistische Layer optional (Bayes/ML) für priors/IG</w:t>
      </w:r>
    </w:p>
    <w:p>
      <w:pPr>
        <w:pStyle w:val="Compact"/>
        <w:numPr>
          <w:ilvl w:val="0"/>
          <w:numId w:val="1023"/>
        </w:numPr>
      </w:pPr>
      <w:r>
        <w:t xml:space="preserve">alles versioniert, auditierbar</w:t>
      </w:r>
    </w:p>
    <w:p>
      <w:r>
        <w:pict>
          <v:rect style="width:0;height:1.5pt" o:hralign="center" o:hrstd="t" o:hr="t"/>
        </w:pict>
      </w:r>
    </w:p>
    <w:bookmarkEnd w:id="53"/>
    <w:bookmarkStart w:id="54" w:name="offene-punkte-für-iteration"/>
    <w:p>
      <w:pPr>
        <w:pStyle w:val="Heading2"/>
      </w:pPr>
      <w:r>
        <w:t xml:space="preserve">12) Offene Punkte für Iteration</w:t>
      </w:r>
    </w:p>
    <w:p>
      <w:pPr>
        <w:pStyle w:val="Compact"/>
        <w:numPr>
          <w:ilvl w:val="0"/>
          <w:numId w:val="1024"/>
        </w:numPr>
      </w:pPr>
      <w:r>
        <w:t xml:space="preserve">Mindestset an Pflichtfragen je Leitsymptom (GP‑MVP)</w:t>
      </w:r>
    </w:p>
    <w:p>
      <w:pPr>
        <w:pStyle w:val="Compact"/>
        <w:numPr>
          <w:ilvl w:val="0"/>
          <w:numId w:val="1024"/>
        </w:numPr>
      </w:pPr>
      <w:r>
        <w:t xml:space="preserve">Red‑Flag‑Matrix: Hard Stop vs. Priority Review</w:t>
      </w:r>
    </w:p>
    <w:p>
      <w:pPr>
        <w:pStyle w:val="Compact"/>
        <w:numPr>
          <w:ilvl w:val="0"/>
          <w:numId w:val="1024"/>
        </w:numPr>
      </w:pPr>
      <w:r>
        <w:t xml:space="preserve">Hypothesenbibliothek: initiale Domänen (GP + Cardio)</w:t>
      </w:r>
    </w:p>
    <w:p>
      <w:pPr>
        <w:pStyle w:val="Compact"/>
        <w:numPr>
          <w:ilvl w:val="0"/>
          <w:numId w:val="1024"/>
        </w:numPr>
      </w:pPr>
      <w:r>
        <w:t xml:space="preserve">Wie sichtbar sind offene Fragen für Patient vs. Arzt?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bereit zur Verfeinerung in Red‑Flag‑Matrix &amp; Adapter‑Design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2026-02-09T12:19:53Z</dcterms:created>
  <dcterms:modified xsi:type="dcterms:W3CDTF">2026-02-09T12:19:53Z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