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FBF8" w14:textId="77777777" w:rsidR="00B505B2" w:rsidRDefault="009B2B3C">
      <w:pPr>
        <w:spacing w:before="200"/>
      </w:pPr>
      <w:r>
        <w:rPr>
          <w:b/>
          <w:bCs/>
          <w:color w:val="1F4E79"/>
          <w:sz w:val="72"/>
          <w:szCs w:val="72"/>
        </w:rPr>
        <w:t>PAT</w:t>
      </w:r>
    </w:p>
    <w:p w14:paraId="2E622F56" w14:textId="77777777" w:rsidR="00B505B2" w:rsidRDefault="009B2B3C">
      <w:pPr>
        <w:spacing w:after="80"/>
      </w:pPr>
      <w:proofErr w:type="spellStart"/>
      <w:r>
        <w:rPr>
          <w:color w:val="2E75B6"/>
          <w:sz w:val="36"/>
          <w:szCs w:val="36"/>
        </w:rPr>
        <w:t>Physician</w:t>
      </w:r>
      <w:proofErr w:type="spellEnd"/>
      <w:r>
        <w:rPr>
          <w:color w:val="2E75B6"/>
          <w:sz w:val="36"/>
          <w:szCs w:val="36"/>
        </w:rPr>
        <w:t xml:space="preserve"> Assistant in </w:t>
      </w:r>
      <w:proofErr w:type="spellStart"/>
      <w:r>
        <w:rPr>
          <w:color w:val="2E75B6"/>
          <w:sz w:val="36"/>
          <w:szCs w:val="36"/>
        </w:rPr>
        <w:t>Telemedicine</w:t>
      </w:r>
      <w:proofErr w:type="spellEnd"/>
    </w:p>
    <w:p w14:paraId="07BED2B5" w14:textId="77777777" w:rsidR="00B505B2" w:rsidRDefault="009B2B3C">
      <w:pPr>
        <w:spacing w:after="40"/>
      </w:pPr>
      <w:r>
        <w:rPr>
          <w:i/>
          <w:iCs/>
          <w:color w:val="444444"/>
          <w:sz w:val="28"/>
          <w:szCs w:val="28"/>
        </w:rPr>
        <w:t xml:space="preserve">Klinische </w:t>
      </w:r>
      <w:proofErr w:type="spellStart"/>
      <w:r>
        <w:rPr>
          <w:i/>
          <w:iCs/>
          <w:color w:val="444444"/>
          <w:sz w:val="28"/>
          <w:szCs w:val="28"/>
        </w:rPr>
        <w:t>Intake</w:t>
      </w:r>
      <w:proofErr w:type="spellEnd"/>
      <w:r>
        <w:rPr>
          <w:i/>
          <w:iCs/>
          <w:color w:val="444444"/>
          <w:sz w:val="28"/>
          <w:szCs w:val="28"/>
        </w:rPr>
        <w:t>- &amp; Triage-Architektur</w:t>
      </w:r>
    </w:p>
    <w:p w14:paraId="3EA622C6" w14:textId="77777777" w:rsidR="00B505B2" w:rsidRDefault="00B505B2">
      <w:pPr>
        <w:pBdr>
          <w:bottom w:val="single" w:sz="8" w:space="1" w:color="1F4E79"/>
        </w:pBdr>
        <w:spacing w:before="160" w:after="240"/>
      </w:pPr>
    </w:p>
    <w:p w14:paraId="0690E88A" w14:textId="77777777" w:rsidR="00B505B2" w:rsidRDefault="009B2B3C">
      <w:pPr>
        <w:spacing w:before="80" w:after="80"/>
      </w:pPr>
      <w:r>
        <w:rPr>
          <w:color w:val="000000"/>
        </w:rPr>
        <w:t xml:space="preserve">PAT ist ein KI-gestütztes digitales </w:t>
      </w:r>
      <w:proofErr w:type="spellStart"/>
      <w:r>
        <w:rPr>
          <w:color w:val="000000"/>
        </w:rPr>
        <w:t>Intake</w:t>
      </w:r>
      <w:proofErr w:type="spellEnd"/>
      <w:r>
        <w:rPr>
          <w:color w:val="000000"/>
        </w:rPr>
        <w:t>-System für die telemedizinische Versorgung. Es handelt sich nicht um eine Person, sondern um eine adaptive Softwarearchitektur, die Patienten von der ersten Unsicherheit bis zur strukturierten Programmaufnahme begleitet – automatisiert, skalierbar und klinisch sicher.</w:t>
      </w:r>
    </w:p>
    <w:p w14:paraId="0035AB1D" w14:textId="77777777" w:rsidR="00B505B2" w:rsidRDefault="00B505B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505B2" w14:paraId="53132A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F214C2" w14:textId="77777777" w:rsidR="00B505B2" w:rsidRDefault="009B2B3C">
            <w:pPr>
              <w:jc w:val="center"/>
            </w:pPr>
            <w:r>
              <w:rPr>
                <w:b/>
                <w:bCs/>
                <w:i/>
                <w:iCs/>
                <w:color w:val="1F4E79"/>
                <w:sz w:val="24"/>
                <w:szCs w:val="24"/>
              </w:rPr>
              <w:t>PAT erhebt nur so viel Information, wie für den nächsten medizinischen Schritt notwendig ist – nicht mehr, aber auch nicht weniger.</w:t>
            </w:r>
          </w:p>
        </w:tc>
      </w:tr>
    </w:tbl>
    <w:p w14:paraId="2145BE17" w14:textId="77777777" w:rsidR="00B505B2" w:rsidRDefault="00B505B2">
      <w:pPr>
        <w:spacing w:before="200"/>
      </w:pPr>
    </w:p>
    <w:p w14:paraId="0B9A459C" w14:textId="77777777" w:rsidR="00B505B2" w:rsidRDefault="009B2B3C">
      <w:pPr>
        <w:pStyle w:val="berschrift1"/>
      </w:pPr>
      <w:r>
        <w:t xml:space="preserve">Leitprinzip: Clinical </w:t>
      </w:r>
      <w:proofErr w:type="spellStart"/>
      <w:r>
        <w:t>Readiness</w:t>
      </w:r>
      <w:proofErr w:type="spellEnd"/>
      <w:r>
        <w:t xml:space="preserve"> statt Vollständigkeit</w:t>
      </w:r>
    </w:p>
    <w:p w14:paraId="386D2F90" w14:textId="77777777" w:rsidR="00B505B2" w:rsidRDefault="009B2B3C">
      <w:pPr>
        <w:spacing w:before="80" w:after="80"/>
      </w:pPr>
      <w:r>
        <w:rPr>
          <w:color w:val="000000"/>
        </w:rPr>
        <w:t xml:space="preserve">Traditionelle Anamnese beginnt mit dem Ziel maximaler Vollständigkeit. Dieses Prinzip stammt aus einer Zeit ohne strukturierte Triage – es ist für den digitalen Kontext ungeeignet. PAT verfolgt stattdessen das Prinzip der „Clinical </w:t>
      </w:r>
      <w:proofErr w:type="spellStart"/>
      <w:r>
        <w:rPr>
          <w:color w:val="000000"/>
        </w:rPr>
        <w:t>Readiness</w:t>
      </w:r>
      <w:proofErr w:type="spellEnd"/>
      <w:r>
        <w:rPr>
          <w:color w:val="000000"/>
        </w:rPr>
        <w:t>“: Eine Ebene gilt als abgeschlossen, sobald der nächste medizinische Schritt klar und verantwortbar definiert werden kann.</w:t>
      </w:r>
    </w:p>
    <w:p w14:paraId="4FC68280" w14:textId="77777777" w:rsidR="00B505B2" w:rsidRDefault="00B505B2">
      <w:pPr>
        <w:spacing w:before="80"/>
      </w:pPr>
    </w:p>
    <w:p w14:paraId="0D894484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Anamnese als Entscheidungsinstrument, nicht als Dokumentationspflicht</w:t>
      </w:r>
    </w:p>
    <w:p w14:paraId="66163186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Informationsmenge richtet sich nach Entscheidungsrelevanz, nicht nach Vollständigkeit</w:t>
      </w:r>
    </w:p>
    <w:p w14:paraId="7C76DD02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Zeitbudget ist ein explizit klinischer Faktor</w:t>
      </w:r>
    </w:p>
    <w:p w14:paraId="7709952D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Sicherheit und Effizienz haben gleiches Gewicht</w:t>
      </w:r>
    </w:p>
    <w:p w14:paraId="45ACDE80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Offene Detailfragen werden bewusst in die Konsultation verlagert</w:t>
      </w:r>
    </w:p>
    <w:p w14:paraId="13E0B7C8" w14:textId="77777777" w:rsidR="00B505B2" w:rsidRDefault="00B505B2">
      <w:pPr>
        <w:spacing w:before="120"/>
      </w:pPr>
    </w:p>
    <w:p w14:paraId="2EF740FC" w14:textId="77777777" w:rsidR="00B505B2" w:rsidRDefault="009B2B3C">
      <w:pPr>
        <w:spacing w:before="80" w:after="80"/>
      </w:pPr>
      <w:r>
        <w:rPr>
          <w:color w:val="000000"/>
        </w:rPr>
        <w:t>Der Arzt steigt nicht in eine Datensammlung ein, sondern auf Entscheidungsniveau – das ist der strategische Mehrwert von PAT.</w:t>
      </w:r>
    </w:p>
    <w:p w14:paraId="5E84C868" w14:textId="77777777" w:rsidR="00B505B2" w:rsidRDefault="00B505B2">
      <w:pPr>
        <w:spacing w:before="200"/>
      </w:pPr>
    </w:p>
    <w:p w14:paraId="270914DA" w14:textId="77777777" w:rsidR="00B505B2" w:rsidRDefault="009B2B3C">
      <w:pPr>
        <w:pStyle w:val="berschrift1"/>
      </w:pPr>
      <w:r>
        <w:t>Die vier Ebenen – Überblick</w:t>
      </w:r>
    </w:p>
    <w:p w14:paraId="2271A539" w14:textId="77777777" w:rsidR="00B505B2" w:rsidRDefault="009B2B3C">
      <w:pPr>
        <w:spacing w:before="80" w:after="80"/>
      </w:pPr>
      <w:r>
        <w:rPr>
          <w:color w:val="000000"/>
        </w:rPr>
        <w:t xml:space="preserve">PAT arbeitet entlang eines Zeitkontinuums von Sekunden bis zu 90 Minuten. Jede Ebene repräsentiert ein anderes klinisches Risikoprofil, ein eigenes Zeitbudget und einen definierten </w:t>
      </w:r>
      <w:proofErr w:type="spellStart"/>
      <w:r>
        <w:rPr>
          <w:color w:val="000000"/>
        </w:rPr>
        <w:t>Readiness</w:t>
      </w:r>
      <w:proofErr w:type="spellEnd"/>
      <w:r>
        <w:rPr>
          <w:color w:val="000000"/>
        </w:rPr>
        <w:t xml:space="preserve">-Output. Auf jeder Ebene gilt dieselbe Grundstruktur: Klares Ziel – Zeitfenster – </w:t>
      </w:r>
      <w:proofErr w:type="spellStart"/>
      <w:r>
        <w:rPr>
          <w:color w:val="000000"/>
        </w:rPr>
        <w:t>Readiness</w:t>
      </w:r>
      <w:proofErr w:type="spellEnd"/>
      <w:r>
        <w:rPr>
          <w:color w:val="000000"/>
        </w:rPr>
        <w:t>-Output – Übergangsregel zur nächsten Stufe.</w:t>
      </w:r>
    </w:p>
    <w:p w14:paraId="7CDC2DC1" w14:textId="77777777" w:rsidR="00B505B2" w:rsidRDefault="00B505B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2240"/>
        <w:gridCol w:w="1137"/>
        <w:gridCol w:w="1748"/>
        <w:gridCol w:w="3434"/>
      </w:tblGrid>
      <w:tr w:rsidR="00B505B2" w14:paraId="1F2B6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D45235" w14:textId="77777777" w:rsidR="00B505B2" w:rsidRDefault="009B2B3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Ebene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626FED" w14:textId="77777777" w:rsidR="00B505B2" w:rsidRDefault="009B2B3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6CCB8A" w14:textId="77777777" w:rsidR="00B505B2" w:rsidRDefault="009B2B3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Zeit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C92AF2" w14:textId="77777777" w:rsidR="00B505B2" w:rsidRDefault="009B2B3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Readiness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-Output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81807F" w14:textId="77777777" w:rsidR="00B505B2" w:rsidRDefault="009B2B3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Auslöser / Übergang</w:t>
            </w:r>
          </w:p>
        </w:tc>
      </w:tr>
      <w:tr w:rsidR="00B505B2" w14:paraId="7A1392D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4BFAA1" w14:textId="77777777" w:rsidR="00B505B2" w:rsidRDefault="009B2B3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DACAFC" w14:textId="77777777" w:rsidR="00B505B2" w:rsidRDefault="009B2B3C">
            <w:r>
              <w:rPr>
                <w:b/>
                <w:bCs/>
                <w:sz w:val="20"/>
                <w:szCs w:val="20"/>
              </w:rPr>
              <w:t>Ultra-Rapid Triage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A9C683" w14:textId="77777777" w:rsidR="00B505B2" w:rsidRDefault="009B2B3C">
            <w:pPr>
              <w:jc w:val="center"/>
            </w:pPr>
            <w:r>
              <w:rPr>
                <w:sz w:val="20"/>
                <w:szCs w:val="20"/>
              </w:rPr>
              <w:t>30–60 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318CCB" w14:textId="77777777" w:rsidR="00B505B2" w:rsidRDefault="009B2B3C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Safety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Ready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F3410E" w14:textId="77777777" w:rsidR="00B505B2" w:rsidRDefault="009B2B3C">
            <w:r>
              <w:rPr>
                <w:sz w:val="20"/>
                <w:szCs w:val="20"/>
              </w:rPr>
              <w:t>Notfallverdacht, Erstkontakt (Walk-in, Telemedizin, Telefon)</w:t>
            </w:r>
          </w:p>
        </w:tc>
      </w:tr>
      <w:tr w:rsidR="00B505B2" w14:paraId="6597C3C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563B9" w14:textId="77777777" w:rsidR="00B505B2" w:rsidRDefault="009B2B3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FFA8C4" w14:textId="77777777" w:rsidR="00B505B2" w:rsidRDefault="009B2B3C">
            <w:proofErr w:type="spellStart"/>
            <w:r>
              <w:rPr>
                <w:b/>
                <w:bCs/>
                <w:sz w:val="20"/>
                <w:szCs w:val="20"/>
              </w:rPr>
              <w:t>Visit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Preparation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FA4B02" w14:textId="77777777" w:rsidR="00B505B2" w:rsidRDefault="009B2B3C">
            <w:pPr>
              <w:jc w:val="center"/>
            </w:pPr>
            <w:r>
              <w:rPr>
                <w:sz w:val="20"/>
                <w:szCs w:val="20"/>
              </w:rPr>
              <w:t>10–15 min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1C6378" w14:textId="77777777" w:rsidR="00B505B2" w:rsidRDefault="009B2B3C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Visit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Ready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20C0F8" w14:textId="77777777" w:rsidR="00B505B2" w:rsidRDefault="009B2B3C">
            <w:r>
              <w:rPr>
                <w:sz w:val="20"/>
                <w:szCs w:val="20"/>
              </w:rPr>
              <w:t>Standardtermin; automatisch nach Routing aus Ebene 1</w:t>
            </w:r>
          </w:p>
        </w:tc>
      </w:tr>
      <w:tr w:rsidR="00B505B2" w14:paraId="2FD8DA4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3EB9C2" w14:textId="77777777" w:rsidR="00B505B2" w:rsidRDefault="009B2B3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6902BF" w14:textId="77777777" w:rsidR="00B505B2" w:rsidRDefault="009B2B3C">
            <w:r>
              <w:rPr>
                <w:b/>
                <w:bCs/>
                <w:sz w:val="20"/>
                <w:szCs w:val="20"/>
              </w:rPr>
              <w:t>Problem-</w:t>
            </w:r>
            <w:proofErr w:type="spellStart"/>
            <w:r>
              <w:rPr>
                <w:b/>
                <w:bCs/>
                <w:sz w:val="20"/>
                <w:szCs w:val="20"/>
              </w:rPr>
              <w:t>Focused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Deep Dive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9B26DE" w14:textId="77777777" w:rsidR="00B505B2" w:rsidRDefault="009B2B3C">
            <w:pPr>
              <w:jc w:val="center"/>
            </w:pPr>
            <w:r>
              <w:rPr>
                <w:sz w:val="20"/>
                <w:szCs w:val="20"/>
              </w:rPr>
              <w:t>20–35 min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2EBF14" w14:textId="77777777" w:rsidR="00B505B2" w:rsidRDefault="009B2B3C">
            <w:r>
              <w:rPr>
                <w:b/>
                <w:bCs/>
                <w:color w:val="2E75B6"/>
                <w:sz w:val="20"/>
                <w:szCs w:val="20"/>
              </w:rPr>
              <w:t>Problem Ready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655775" w14:textId="77777777" w:rsidR="00B505B2" w:rsidRDefault="009B2B3C">
            <w:r>
              <w:rPr>
                <w:sz w:val="20"/>
                <w:szCs w:val="20"/>
              </w:rPr>
              <w:t>Chronizität, Komplexität, Symptomcluster ≥12 Wochen</w:t>
            </w:r>
          </w:p>
        </w:tc>
      </w:tr>
      <w:tr w:rsidR="00B505B2" w14:paraId="62A3FD8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3AA72B" w14:textId="77777777" w:rsidR="00B505B2" w:rsidRDefault="009B2B3C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2BDA23" w14:textId="77777777" w:rsidR="00B505B2" w:rsidRDefault="009B2B3C">
            <w:proofErr w:type="spellStart"/>
            <w:r>
              <w:rPr>
                <w:b/>
                <w:bCs/>
                <w:sz w:val="20"/>
                <w:szCs w:val="20"/>
              </w:rPr>
              <w:t>Diagnostic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Program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Intake</w:t>
            </w:r>
            <w:proofErr w:type="spellEnd"/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5C4F6D" w14:textId="77777777" w:rsidR="00B505B2" w:rsidRDefault="009B2B3C">
            <w:pPr>
              <w:jc w:val="center"/>
            </w:pPr>
            <w:r>
              <w:rPr>
                <w:sz w:val="20"/>
                <w:szCs w:val="20"/>
              </w:rPr>
              <w:t>45–90 min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FD2D9" w14:textId="77777777" w:rsidR="00B505B2" w:rsidRDefault="009B2B3C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Program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Ready</w:t>
            </w:r>
          </w:p>
        </w:tc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28CF43" w14:textId="77777777" w:rsidR="00B505B2" w:rsidRDefault="009B2B3C">
            <w:r>
              <w:rPr>
                <w:sz w:val="20"/>
                <w:szCs w:val="20"/>
              </w:rPr>
              <w:t>Check-up, Prävention, High-Tier-Programmbuchung</w:t>
            </w:r>
          </w:p>
        </w:tc>
      </w:tr>
    </w:tbl>
    <w:p w14:paraId="4842FD9D" w14:textId="77777777" w:rsidR="00B505B2" w:rsidRDefault="00B505B2">
      <w:pPr>
        <w:spacing w:before="80"/>
      </w:pPr>
    </w:p>
    <w:p w14:paraId="4D083F62" w14:textId="77777777" w:rsidR="00B505B2" w:rsidRDefault="009B2B3C">
      <w:pPr>
        <w:spacing w:before="80" w:after="80"/>
      </w:pPr>
      <w:r>
        <w:rPr>
          <w:i/>
          <w:iCs/>
          <w:color w:val="666666"/>
        </w:rPr>
        <w:t>Hinweis: Die Zeitangaben sind klinische Richtwerte, keine technischen Limits. Bei kognitiven Einschränkungen, Sprachbarrieren oder hoher Belastung muss ein Fallback-Modus mit verlängertem Fenster vorgesehen werden.</w:t>
      </w:r>
    </w:p>
    <w:p w14:paraId="50747A27" w14:textId="77777777" w:rsidR="00B505B2" w:rsidRDefault="00B505B2">
      <w:pPr>
        <w:spacing w:before="200"/>
      </w:pPr>
    </w:p>
    <w:p w14:paraId="1F7F050F" w14:textId="77777777" w:rsidR="00B505B2" w:rsidRDefault="00B505B2">
      <w:pPr>
        <w:pBdr>
          <w:bottom w:val="single" w:sz="6" w:space="1" w:color="2E75B6"/>
        </w:pBdr>
        <w:spacing w:before="200" w:after="200"/>
      </w:pPr>
    </w:p>
    <w:p w14:paraId="66F1D096" w14:textId="77777777" w:rsidR="00B505B2" w:rsidRDefault="009B2B3C">
      <w:pPr>
        <w:pStyle w:val="berschrift1"/>
      </w:pPr>
      <w:r>
        <w:t>Ebene 1 – Ultra-Rapid Clinical Triage (30–60 Sekunden)</w:t>
      </w:r>
    </w:p>
    <w:p w14:paraId="65DBF6E9" w14:textId="77777777" w:rsidR="00B505B2" w:rsidRDefault="009B2B3C">
      <w:pPr>
        <w:spacing w:before="80" w:after="80"/>
      </w:pPr>
      <w:r>
        <w:rPr>
          <w:color w:val="000000"/>
        </w:rPr>
        <w:t>Diese Ebene adressiert Situationen mit potenzieller Zeitkritikalität. Ihr einziger Auftrag ist Sicherheit – keine Diagnose, kein Hypothesenraum, keine Differenzierung. PAT übernimmt hier die Funktion einer digitalen Primärtriage, vergleichbar mit einem strukturierten ABCDE-Screening.</w:t>
      </w:r>
    </w:p>
    <w:p w14:paraId="429C427A" w14:textId="77777777" w:rsidR="00B505B2" w:rsidRDefault="00B50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505B2" w14:paraId="5AA88E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FAF297E" w14:textId="77777777" w:rsidR="00B505B2" w:rsidRDefault="009B2B3C">
            <w:r>
              <w:rPr>
                <w:b/>
                <w:bCs/>
                <w:color w:val="FFFFFF"/>
                <w:sz w:val="20"/>
                <w:szCs w:val="20"/>
              </w:rPr>
              <w:t>Ziel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D7CB8B" w14:textId="77777777" w:rsidR="00B505B2" w:rsidRDefault="009B2B3C">
            <w:proofErr w:type="spellStart"/>
            <w:r>
              <w:rPr>
                <w:color w:val="000000"/>
              </w:rPr>
              <w:t>Safety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Readiness</w:t>
            </w:r>
            <w:proofErr w:type="spellEnd"/>
            <w:r>
              <w:rPr>
                <w:color w:val="000000"/>
              </w:rPr>
              <w:t>: Kann der Patient warten, oder nicht?</w:t>
            </w:r>
          </w:p>
        </w:tc>
      </w:tr>
    </w:tbl>
    <w:p w14:paraId="0F739492" w14:textId="77777777" w:rsidR="00B505B2" w:rsidRDefault="00B50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505B2" w14:paraId="4FD503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0176AB9" w14:textId="77777777" w:rsidR="00B505B2" w:rsidRDefault="009B2B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Readiness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-Output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661232" w14:textId="77777777" w:rsidR="00B505B2" w:rsidRDefault="009B2B3C">
            <w:proofErr w:type="spellStart"/>
            <w:r>
              <w:rPr>
                <w:color w:val="000000"/>
              </w:rPr>
              <w:t>Safety</w:t>
            </w:r>
            <w:proofErr w:type="spellEnd"/>
            <w:r>
              <w:rPr>
                <w:color w:val="000000"/>
              </w:rPr>
              <w:t xml:space="preserve"> Ready – einer von vier Pfaden: Notruf / Notaufnahme / dringender Termin / Standard-</w:t>
            </w:r>
            <w:proofErr w:type="spellStart"/>
            <w:r>
              <w:rPr>
                <w:color w:val="000000"/>
              </w:rPr>
              <w:t>Intake</w:t>
            </w:r>
            <w:proofErr w:type="spellEnd"/>
          </w:p>
        </w:tc>
      </w:tr>
    </w:tbl>
    <w:p w14:paraId="3A053774" w14:textId="77777777" w:rsidR="00B505B2" w:rsidRDefault="00B505B2">
      <w:pPr>
        <w:spacing w:before="120"/>
      </w:pPr>
    </w:p>
    <w:p w14:paraId="752D1D20" w14:textId="77777777" w:rsidR="00B505B2" w:rsidRDefault="009B2B3C">
      <w:pPr>
        <w:pStyle w:val="berschrift3"/>
      </w:pPr>
      <w:r>
        <w:t>Inhalt und Logik</w:t>
      </w:r>
    </w:p>
    <w:p w14:paraId="5EC35979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Minimal-Set bipolarer Entscheidungsfragen – maximale Entscheidungsdichte</w:t>
      </w:r>
    </w:p>
    <w:p w14:paraId="074C52BF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Fokus ausschließlich auf vital bedrohliche Muster</w:t>
      </w:r>
    </w:p>
    <w:p w14:paraId="160F306C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Kein Hypothesenraum, keine Differenzialdiagnosen</w:t>
      </w:r>
    </w:p>
    <w:p w14:paraId="5FC15A34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Nach Routing in Ebene 1: automatischer Übergang in Ebene 2 (nicht asynchrone Vertiefung nach Notruf – die ist inhaltlich sinnlos)</w:t>
      </w:r>
    </w:p>
    <w:p w14:paraId="17AE54DC" w14:textId="77777777" w:rsidR="00B505B2" w:rsidRDefault="00B505B2">
      <w:pPr>
        <w:spacing w:before="120"/>
      </w:pPr>
    </w:p>
    <w:p w14:paraId="15FA38D7" w14:textId="77777777" w:rsidR="00B505B2" w:rsidRDefault="009B2B3C">
      <w:pPr>
        <w:pStyle w:val="berschrift3"/>
      </w:pPr>
      <w:r>
        <w:t>Machbarkeitshinweis</w:t>
      </w:r>
    </w:p>
    <w:p w14:paraId="3B635D6F" w14:textId="77777777" w:rsidR="00B505B2" w:rsidRDefault="009B2B3C">
      <w:pPr>
        <w:spacing w:before="80" w:after="80"/>
      </w:pPr>
      <w:r>
        <w:rPr>
          <w:color w:val="000000"/>
        </w:rPr>
        <w:t>30–60 Sekunden sind für kooperative, sprachlich kompetente Erwachsene realistisch. Für Kinder, ältere Patienten oder solche mit Sprachbarriere ist ein erweiterter Primärmodus vorzusehen. Das System muss definieren, was bei unvollständiger Eingabe geschieht (</w:t>
      </w:r>
      <w:proofErr w:type="spellStart"/>
      <w:r>
        <w:rPr>
          <w:color w:val="000000"/>
        </w:rPr>
        <w:t>Fallback</w:t>
      </w:r>
      <w:proofErr w:type="spellEnd"/>
      <w:r>
        <w:rPr>
          <w:color w:val="000000"/>
        </w:rPr>
        <w:t>: konservativer Pfad).</w:t>
      </w:r>
    </w:p>
    <w:p w14:paraId="6E04302E" w14:textId="77777777" w:rsidR="00B505B2" w:rsidRDefault="00B505B2">
      <w:pPr>
        <w:spacing w:before="200"/>
      </w:pPr>
    </w:p>
    <w:p w14:paraId="31B95224" w14:textId="77777777" w:rsidR="00B505B2" w:rsidRDefault="00B505B2">
      <w:pPr>
        <w:pBdr>
          <w:bottom w:val="single" w:sz="6" w:space="1" w:color="2E75B6"/>
        </w:pBdr>
        <w:spacing w:before="200" w:after="200"/>
      </w:pPr>
    </w:p>
    <w:p w14:paraId="2D910B77" w14:textId="77777777" w:rsidR="00B505B2" w:rsidRDefault="009B2B3C">
      <w:pPr>
        <w:pStyle w:val="berschrift1"/>
      </w:pPr>
      <w:r>
        <w:t xml:space="preserve">Ebene 2 –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Preparation</w:t>
      </w:r>
      <w:proofErr w:type="spellEnd"/>
      <w:r>
        <w:t xml:space="preserve"> (10–15 Minuten)</w:t>
      </w:r>
    </w:p>
    <w:p w14:paraId="3071ACA6" w14:textId="77777777" w:rsidR="00B505B2" w:rsidRDefault="009B2B3C">
      <w:pPr>
        <w:spacing w:before="80" w:after="80"/>
      </w:pPr>
      <w:r>
        <w:rPr>
          <w:color w:val="000000"/>
        </w:rPr>
        <w:t xml:space="preserve">Diese Ebene bildet den Standard-Flow für ambulante Termine. Ziel ist eine strukturierte, entscheidungsreife </w:t>
      </w:r>
      <w:proofErr w:type="spellStart"/>
      <w:r>
        <w:rPr>
          <w:color w:val="000000"/>
        </w:rPr>
        <w:t>Kurzakte</w:t>
      </w:r>
      <w:proofErr w:type="spellEnd"/>
      <w:r>
        <w:rPr>
          <w:color w:val="000000"/>
        </w:rPr>
        <w:t>, die es dem Arzt erlaubt, das Gespräch direkt auf Entscheidungsniveau zu beginnen – ohne Briefing, ohne Wiederholung des Offensichtlichen.</w:t>
      </w:r>
    </w:p>
    <w:p w14:paraId="13F91CAC" w14:textId="77777777" w:rsidR="00B505B2" w:rsidRDefault="00B50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505B2" w14:paraId="677CAD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6CDA715" w14:textId="77777777" w:rsidR="00B505B2" w:rsidRDefault="009B2B3C">
            <w:r>
              <w:rPr>
                <w:b/>
                <w:bCs/>
                <w:color w:val="FFFFFF"/>
                <w:sz w:val="20"/>
                <w:szCs w:val="20"/>
              </w:rPr>
              <w:t>Ziel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8FBE1A" w14:textId="77777777" w:rsidR="00B505B2" w:rsidRDefault="009B2B3C">
            <w:proofErr w:type="spellStart"/>
            <w:r>
              <w:rPr>
                <w:color w:val="000000"/>
              </w:rPr>
              <w:t>Kurzakte</w:t>
            </w:r>
            <w:proofErr w:type="spellEnd"/>
            <w:r>
              <w:rPr>
                <w:color w:val="000000"/>
              </w:rPr>
              <w:t xml:space="preserve"> mit Hauptbeschwerde, Zeitachse, </w:t>
            </w:r>
            <w:proofErr w:type="spellStart"/>
            <w:r>
              <w:rPr>
                <w:color w:val="000000"/>
              </w:rPr>
              <w:t>Red</w:t>
            </w:r>
            <w:proofErr w:type="spellEnd"/>
            <w:r>
              <w:rPr>
                <w:color w:val="000000"/>
              </w:rPr>
              <w:t xml:space="preserve"> Flags, Vorerkrankungen, Medikation</w:t>
            </w:r>
          </w:p>
        </w:tc>
      </w:tr>
    </w:tbl>
    <w:p w14:paraId="35145C73" w14:textId="77777777" w:rsidR="00B505B2" w:rsidRDefault="00B50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505B2" w14:paraId="33C55F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92B6511" w14:textId="77777777" w:rsidR="00B505B2" w:rsidRDefault="009B2B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Readiness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-Output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D12D58" w14:textId="77777777" w:rsidR="00B505B2" w:rsidRDefault="009B2B3C">
            <w:proofErr w:type="spellStart"/>
            <w:r>
              <w:rPr>
                <w:color w:val="000000"/>
              </w:rPr>
              <w:t>Visit</w:t>
            </w:r>
            <w:proofErr w:type="spellEnd"/>
            <w:r>
              <w:rPr>
                <w:color w:val="000000"/>
              </w:rPr>
              <w:t xml:space="preserve"> Ready – Arzt kann das Gespräch ohne Vorbefragung auf Entscheidungsniveau starten</w:t>
            </w:r>
          </w:p>
        </w:tc>
      </w:tr>
    </w:tbl>
    <w:p w14:paraId="35F0D66F" w14:textId="77777777" w:rsidR="00B505B2" w:rsidRDefault="00B505B2">
      <w:pPr>
        <w:spacing w:before="120"/>
      </w:pPr>
    </w:p>
    <w:p w14:paraId="735F2B1A" w14:textId="77777777" w:rsidR="00B505B2" w:rsidRDefault="009B2B3C">
      <w:pPr>
        <w:pStyle w:val="berschrift3"/>
      </w:pPr>
      <w:r>
        <w:t>Inhalt und Logik</w:t>
      </w:r>
    </w:p>
    <w:p w14:paraId="250568ED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Hauptbeschwerde strukturiert erfassen</w:t>
      </w:r>
    </w:p>
    <w:p w14:paraId="5B9715E7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Zeitlichen Verlauf abbilden</w:t>
      </w:r>
    </w:p>
    <w:p w14:paraId="4E301589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Relevante Vorerkrankungen und Medikation erheben</w:t>
      </w:r>
    </w:p>
    <w:p w14:paraId="25B701B6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Systematisches </w:t>
      </w:r>
      <w:proofErr w:type="spellStart"/>
      <w:r>
        <w:rPr>
          <w:color w:val="000000"/>
        </w:rPr>
        <w:t>Red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>-Screening – indikationsspezifisch (nicht generisch)</w:t>
      </w:r>
    </w:p>
    <w:p w14:paraId="78C96DE4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Offene Fragen formulieren, Hypothesenraum skizzieren</w:t>
      </w:r>
    </w:p>
    <w:p w14:paraId="6289CEAB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Kein Vollständigkeitsanspruch: Restfragen bleiben bewusst für die Konsultation</w:t>
      </w:r>
    </w:p>
    <w:p w14:paraId="5BCA664A" w14:textId="77777777" w:rsidR="00B505B2" w:rsidRDefault="00B505B2">
      <w:pPr>
        <w:spacing w:before="120"/>
      </w:pPr>
    </w:p>
    <w:p w14:paraId="7EC2FB7F" w14:textId="77777777" w:rsidR="00B505B2" w:rsidRDefault="009B2B3C">
      <w:pPr>
        <w:pStyle w:val="berschrift3"/>
      </w:pPr>
      <w:r>
        <w:t>Übergang zu Ebene 3</w:t>
      </w:r>
    </w:p>
    <w:p w14:paraId="19373671" w14:textId="77777777" w:rsidR="00B505B2" w:rsidRDefault="009B2B3C">
      <w:pPr>
        <w:spacing w:before="80" w:after="80"/>
      </w:pPr>
      <w:r>
        <w:rPr>
          <w:color w:val="000000"/>
        </w:rPr>
        <w:t>Ebene 3 wird aktiviert, wenn mindestens eines der folgenden Kriterien erfüllt ist:</w:t>
      </w:r>
    </w:p>
    <w:p w14:paraId="763057E7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Symptomatik ≥12 Wochen (Chronizitätsmarker)</w:t>
      </w:r>
    </w:p>
    <w:p w14:paraId="37A9245E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Mehrere Symptomcluster gleichzeitig ohne klare Verbindung</w:t>
      </w:r>
    </w:p>
    <w:p w14:paraId="6EE4EFC1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Bekannte chronische Grunderkrankung als klinischer Kontext</w:t>
      </w:r>
    </w:p>
    <w:p w14:paraId="5FCEB580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Explizite Anforderung des Arztes nach Voraufnahme</w:t>
      </w:r>
    </w:p>
    <w:p w14:paraId="1815C90B" w14:textId="77777777" w:rsidR="00B505B2" w:rsidRDefault="00B505B2">
      <w:pPr>
        <w:spacing w:before="200"/>
      </w:pPr>
    </w:p>
    <w:p w14:paraId="16CE60CC" w14:textId="77777777" w:rsidR="00B505B2" w:rsidRDefault="00B505B2">
      <w:pPr>
        <w:pBdr>
          <w:bottom w:val="single" w:sz="6" w:space="1" w:color="2E75B6"/>
        </w:pBdr>
        <w:spacing w:before="200" w:after="200"/>
      </w:pPr>
    </w:p>
    <w:p w14:paraId="066435A0" w14:textId="77777777" w:rsidR="00B505B2" w:rsidRDefault="009B2B3C">
      <w:pPr>
        <w:pStyle w:val="berschrift1"/>
      </w:pPr>
      <w:r>
        <w:t>Ebene 3 – Problem-</w:t>
      </w:r>
      <w:proofErr w:type="spellStart"/>
      <w:r>
        <w:t>Focused</w:t>
      </w:r>
      <w:proofErr w:type="spellEnd"/>
      <w:r>
        <w:t xml:space="preserve"> Deep Dive (20–35 Minuten)</w:t>
      </w:r>
    </w:p>
    <w:p w14:paraId="4D69E17D" w14:textId="77777777" w:rsidR="00B505B2" w:rsidRDefault="009B2B3C">
      <w:pPr>
        <w:spacing w:before="80" w:after="80"/>
      </w:pPr>
      <w:r>
        <w:rPr>
          <w:color w:val="000000"/>
        </w:rPr>
        <w:t>Diese Ebene wird bei Komplexität oder Chronizität aktiviert. PAT führt eine modulare, indikationsbezogene Tiefenanamnese durch – kein universelles Vollspektrum, sondern präzise Tiefe dort, wo sie klinisch relevant ist.</w:t>
      </w:r>
    </w:p>
    <w:p w14:paraId="71FC523F" w14:textId="77777777" w:rsidR="00B505B2" w:rsidRDefault="00B50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505B2" w14:paraId="7B1CD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7EC32EB" w14:textId="77777777" w:rsidR="00B505B2" w:rsidRDefault="009B2B3C">
            <w:r>
              <w:rPr>
                <w:b/>
                <w:bCs/>
                <w:color w:val="FFFFFF"/>
                <w:sz w:val="20"/>
                <w:szCs w:val="20"/>
              </w:rPr>
              <w:t>Ziel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6A6120" w14:textId="77777777" w:rsidR="00B505B2" w:rsidRDefault="009B2B3C">
            <w:r>
              <w:rPr>
                <w:color w:val="000000"/>
              </w:rPr>
              <w:t>Diagnostische Vorbereitung: Differenzierung von Symptomclustern, Risikostratifizierung</w:t>
            </w:r>
          </w:p>
        </w:tc>
      </w:tr>
    </w:tbl>
    <w:p w14:paraId="1C6E14D2" w14:textId="77777777" w:rsidR="00B505B2" w:rsidRDefault="00B50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505B2" w14:paraId="77A584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6218425" w14:textId="77777777" w:rsidR="00B505B2" w:rsidRDefault="009B2B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Readiness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-Output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D760B4" w14:textId="77777777" w:rsidR="00B505B2" w:rsidRDefault="009B2B3C">
            <w:r>
              <w:rPr>
                <w:color w:val="000000"/>
              </w:rPr>
              <w:t>Problem Ready – Diagnostik- oder Therapiepfad direkt planbar</w:t>
            </w:r>
          </w:p>
        </w:tc>
      </w:tr>
    </w:tbl>
    <w:p w14:paraId="23C6C195" w14:textId="77777777" w:rsidR="00B505B2" w:rsidRDefault="00B505B2">
      <w:pPr>
        <w:spacing w:before="120"/>
      </w:pPr>
    </w:p>
    <w:p w14:paraId="1AFD3E15" w14:textId="77777777" w:rsidR="00B505B2" w:rsidRDefault="009B2B3C">
      <w:pPr>
        <w:pStyle w:val="berschrift3"/>
      </w:pPr>
      <w:r>
        <w:t>Inhalt und Logik</w:t>
      </w:r>
    </w:p>
    <w:p w14:paraId="00437404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Aktivierung durch definierten Trigger aus Ebene 2 (s. Schwellenwerte oben)</w:t>
      </w:r>
    </w:p>
    <w:p w14:paraId="36C65C66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Modularer Aufbau: eigene Module für Rhythmologie, Herzinsuffizienz, Prävention, </w:t>
      </w:r>
      <w:proofErr w:type="spellStart"/>
      <w:r>
        <w:rPr>
          <w:color w:val="000000"/>
        </w:rPr>
        <w:t>Kardiometabolik</w:t>
      </w:r>
      <w:proofErr w:type="spellEnd"/>
      <w:r>
        <w:rPr>
          <w:color w:val="000000"/>
        </w:rPr>
        <w:t xml:space="preserve"> u. a.</w:t>
      </w:r>
    </w:p>
    <w:p w14:paraId="72D38F91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Erweiterte Differenzierung von Symptomclustern</w:t>
      </w:r>
    </w:p>
    <w:p w14:paraId="3937A616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Strukturierte Risikostratifizierung mit Gewichtung</w:t>
      </w:r>
    </w:p>
    <w:p w14:paraId="26EB6FF0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Vorbereitung konkreter Diagnostikempfehlungen</w:t>
      </w:r>
    </w:p>
    <w:p w14:paraId="31320AC7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Keine universelle Vollanamnese – Tiefe folgt der Indikation</w:t>
      </w:r>
    </w:p>
    <w:p w14:paraId="67D43DCC" w14:textId="77777777" w:rsidR="00B505B2" w:rsidRDefault="00B505B2">
      <w:pPr>
        <w:spacing w:before="200"/>
      </w:pPr>
    </w:p>
    <w:p w14:paraId="54539C37" w14:textId="77777777" w:rsidR="00B505B2" w:rsidRDefault="00B505B2">
      <w:pPr>
        <w:pBdr>
          <w:bottom w:val="single" w:sz="6" w:space="1" w:color="2E75B6"/>
        </w:pBdr>
        <w:spacing w:before="200" w:after="200"/>
      </w:pPr>
    </w:p>
    <w:p w14:paraId="269CD368" w14:textId="77777777" w:rsidR="00B505B2" w:rsidRDefault="009B2B3C">
      <w:pPr>
        <w:pStyle w:val="berschrift1"/>
      </w:pPr>
      <w:r>
        <w:t xml:space="preserve">Ebene 4 –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Intake</w:t>
      </w:r>
      <w:proofErr w:type="spellEnd"/>
      <w:r>
        <w:t xml:space="preserve"> (45–90 Minuten)</w:t>
      </w:r>
    </w:p>
    <w:p w14:paraId="6967060F" w14:textId="77777777" w:rsidR="00B505B2" w:rsidRDefault="009B2B3C">
      <w:pPr>
        <w:spacing w:before="80" w:after="80"/>
      </w:pPr>
      <w:r>
        <w:rPr>
          <w:color w:val="000000"/>
        </w:rPr>
        <w:t xml:space="preserve">Diese Ebene kommt bei umfassenden Check-ups, Präventionsprogrammen oder High-Tier-Angeboten zum Einsatz. Hier erfolgt eine strukturierte </w:t>
      </w:r>
      <w:proofErr w:type="spellStart"/>
      <w:r>
        <w:rPr>
          <w:color w:val="000000"/>
        </w:rPr>
        <w:t>propäeutische</w:t>
      </w:r>
      <w:proofErr w:type="spellEnd"/>
      <w:r>
        <w:rPr>
          <w:color w:val="000000"/>
        </w:rPr>
        <w:t xml:space="preserve"> Vollanamnese als digitaler Aufnahmeprozess – der Ausgangspunkt für längerfristige Betreuung.</w:t>
      </w:r>
    </w:p>
    <w:p w14:paraId="30606004" w14:textId="77777777" w:rsidR="00B505B2" w:rsidRDefault="00B50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505B2" w14:paraId="7A1DD3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C5048E0" w14:textId="77777777" w:rsidR="00B505B2" w:rsidRDefault="009B2B3C">
            <w:r>
              <w:rPr>
                <w:b/>
                <w:bCs/>
                <w:color w:val="FFFFFF"/>
                <w:sz w:val="20"/>
                <w:szCs w:val="20"/>
              </w:rPr>
              <w:t>Ziel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08A7E5" w14:textId="77777777" w:rsidR="00B505B2" w:rsidRDefault="009B2B3C">
            <w:r>
              <w:rPr>
                <w:color w:val="000000"/>
              </w:rPr>
              <w:t>Vollständiger, systematischer Ausgangspunkt für Programm-Onboarding</w:t>
            </w:r>
          </w:p>
        </w:tc>
      </w:tr>
    </w:tbl>
    <w:p w14:paraId="6535C7C0" w14:textId="77777777" w:rsidR="00B505B2" w:rsidRDefault="00B505B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B505B2" w14:paraId="4FAB9C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B3CF587" w14:textId="77777777" w:rsidR="00B505B2" w:rsidRDefault="009B2B3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Readiness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-Output</w:t>
            </w:r>
          </w:p>
        </w:tc>
        <w:tc>
          <w:tcPr>
            <w:tcW w:w="7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A421A5" w14:textId="77777777" w:rsidR="00B505B2" w:rsidRDefault="009B2B3C">
            <w:proofErr w:type="spellStart"/>
            <w:r>
              <w:rPr>
                <w:color w:val="000000"/>
              </w:rPr>
              <w:t>Program</w:t>
            </w:r>
            <w:proofErr w:type="spellEnd"/>
            <w:r>
              <w:rPr>
                <w:color w:val="000000"/>
              </w:rPr>
              <w:t xml:space="preserve"> Ready – Übergang in Programm, Retreat oder Präventionspfad</w:t>
            </w:r>
          </w:p>
        </w:tc>
      </w:tr>
    </w:tbl>
    <w:p w14:paraId="059E8628" w14:textId="77777777" w:rsidR="00B505B2" w:rsidRDefault="00B505B2">
      <w:pPr>
        <w:spacing w:before="120"/>
      </w:pPr>
    </w:p>
    <w:p w14:paraId="2D8D68DA" w14:textId="77777777" w:rsidR="00B505B2" w:rsidRDefault="009B2B3C">
      <w:pPr>
        <w:pStyle w:val="berschrift3"/>
      </w:pPr>
      <w:r>
        <w:t>Inhalt und Logik</w:t>
      </w:r>
    </w:p>
    <w:p w14:paraId="24FC2F24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Vollständige Eigen- und Familienanamnese</w:t>
      </w:r>
    </w:p>
    <w:p w14:paraId="79A9378A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Lifestyle-, Risikofaktoren- und Systemanalyse</w:t>
      </w:r>
    </w:p>
    <w:p w14:paraId="6BC4A390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Strukturierte Vorerkrankungs- und Medikamentenanalyse</w:t>
      </w:r>
    </w:p>
    <w:p w14:paraId="71C3C3DF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Dokument-Upload und Vorbefundintegration</w:t>
      </w:r>
    </w:p>
    <w:p w14:paraId="7E3E25E3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color w:val="000000"/>
        </w:rPr>
        <w:t>Langfristige Verlaufs- und KPI-Strukturierung</w:t>
      </w:r>
    </w:p>
    <w:p w14:paraId="31407A9D" w14:textId="77777777" w:rsidR="00B505B2" w:rsidRDefault="00B505B2">
      <w:pPr>
        <w:spacing w:before="120"/>
      </w:pPr>
    </w:p>
    <w:p w14:paraId="11ACAA56" w14:textId="77777777" w:rsidR="00B505B2" w:rsidRDefault="009B2B3C">
      <w:pPr>
        <w:pStyle w:val="berschrift3"/>
      </w:pPr>
      <w:r>
        <w:t>Machbarkeitshinweis</w:t>
      </w:r>
    </w:p>
    <w:p w14:paraId="280F5BCB" w14:textId="77777777" w:rsidR="00B505B2" w:rsidRDefault="009B2B3C">
      <w:pPr>
        <w:spacing w:before="80" w:after="80"/>
      </w:pPr>
      <w:r>
        <w:rPr>
          <w:color w:val="000000"/>
        </w:rPr>
        <w:t xml:space="preserve">45–90 Minuten sind die kritischste Ebene für Patient Dropout. Zwingend erforderlich: Unterbrechbarkeit und automatische Zwischenspeicherung nach jedem Abschnitt. Die Session muss nach Unterbrechung </w:t>
      </w:r>
      <w:proofErr w:type="spellStart"/>
      <w:r>
        <w:rPr>
          <w:color w:val="000000"/>
        </w:rPr>
        <w:t>wiederaufnehmbar</w:t>
      </w:r>
      <w:proofErr w:type="spellEnd"/>
      <w:r>
        <w:rPr>
          <w:color w:val="000000"/>
        </w:rPr>
        <w:t xml:space="preserve"> sein, ohne dass abgeschlossene Teile neu erhoben werden.</w:t>
      </w:r>
    </w:p>
    <w:p w14:paraId="70413736" w14:textId="77777777" w:rsidR="00B505B2" w:rsidRDefault="00B505B2">
      <w:pPr>
        <w:spacing w:before="200"/>
      </w:pPr>
    </w:p>
    <w:p w14:paraId="10F002DD" w14:textId="77777777" w:rsidR="00B505B2" w:rsidRDefault="00B505B2">
      <w:pPr>
        <w:pBdr>
          <w:bottom w:val="single" w:sz="6" w:space="1" w:color="2E75B6"/>
        </w:pBdr>
        <w:spacing w:before="200" w:after="200"/>
      </w:pPr>
    </w:p>
    <w:p w14:paraId="62AA8F81" w14:textId="77777777" w:rsidR="00B505B2" w:rsidRDefault="009B2B3C">
      <w:pPr>
        <w:pStyle w:val="berschrift1"/>
      </w:pPr>
      <w:r>
        <w:t>Clinical Depth Controller – Systemlogik</w:t>
      </w:r>
    </w:p>
    <w:p w14:paraId="4450430C" w14:textId="77777777" w:rsidR="00B505B2" w:rsidRDefault="009B2B3C">
      <w:pPr>
        <w:spacing w:before="80" w:after="80"/>
      </w:pPr>
      <w:r>
        <w:rPr>
          <w:color w:val="000000"/>
        </w:rPr>
        <w:t>Der Clinical Depth Controller ist die Steuerungsinstanz zwischen Sprachmodell, Regelwerk und klinischer Logik. Er bestimmt die angemessene Anamnesetiefe datenbasiert und nachvollziehbar. Wichtig: Das Sprachmodell generiert Fragen und interpretiert Inhalte – die klinische Sicherheitslogik liegt im Regelwerk, nicht im LLM.</w:t>
      </w:r>
    </w:p>
    <w:p w14:paraId="5628EE83" w14:textId="77777777" w:rsidR="00B505B2" w:rsidRDefault="00B505B2">
      <w:pPr>
        <w:spacing w:before="120"/>
      </w:pPr>
    </w:p>
    <w:p w14:paraId="7B52F88B" w14:textId="77777777" w:rsidR="00B505B2" w:rsidRDefault="009B2B3C">
      <w:pPr>
        <w:pStyle w:val="berschrift3"/>
      </w:pPr>
      <w:r>
        <w:t>Architekturschichten</w:t>
      </w:r>
    </w:p>
    <w:p w14:paraId="3915EE59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Input-Interpretation (LLM-Ebene)</w:t>
      </w:r>
    </w:p>
    <w:p w14:paraId="19659DEE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Semantische Analyse von Freitextangaben</w:t>
      </w:r>
    </w:p>
    <w:p w14:paraId="6A6885E1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Extraktion von Symptomen, Zeitmustern, Intensität und Kontext</w:t>
      </w:r>
    </w:p>
    <w:p w14:paraId="46E50173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 xml:space="preserve">Erkennung von </w:t>
      </w:r>
      <w:proofErr w:type="spellStart"/>
      <w:r>
        <w:rPr>
          <w:color w:val="444444"/>
          <w:sz w:val="20"/>
          <w:szCs w:val="20"/>
        </w:rPr>
        <w:t>Red</w:t>
      </w:r>
      <w:proofErr w:type="spellEnd"/>
      <w:r>
        <w:rPr>
          <w:color w:val="444444"/>
          <w:sz w:val="20"/>
          <w:szCs w:val="20"/>
        </w:rPr>
        <w:t>-</w:t>
      </w:r>
      <w:proofErr w:type="spellStart"/>
      <w:r>
        <w:rPr>
          <w:color w:val="444444"/>
          <w:sz w:val="20"/>
          <w:szCs w:val="20"/>
        </w:rPr>
        <w:t>Flag</w:t>
      </w:r>
      <w:proofErr w:type="spellEnd"/>
      <w:r>
        <w:rPr>
          <w:color w:val="444444"/>
          <w:sz w:val="20"/>
          <w:szCs w:val="20"/>
        </w:rPr>
        <w:t>-Begriffen und Risikomustern</w:t>
      </w:r>
    </w:p>
    <w:p w14:paraId="5A756427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Strukturierung unpräziser Patientenaussagen</w:t>
      </w:r>
    </w:p>
    <w:p w14:paraId="64902207" w14:textId="77777777" w:rsidR="00B505B2" w:rsidRDefault="00B505B2">
      <w:pPr>
        <w:spacing w:before="60"/>
      </w:pPr>
    </w:p>
    <w:p w14:paraId="08765C09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Regelbasierte Sicherheitslogik (Rule Engine)</w:t>
      </w:r>
    </w:p>
    <w:p w14:paraId="3FB5718D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Feste Entscheidungsregeln für Notfallmuster – deterministisch, nicht LLM-gesteuert</w:t>
      </w:r>
    </w:p>
    <w:p w14:paraId="2ED2157A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Schwellenwerte für zeitkritische Konstellationen</w:t>
      </w:r>
    </w:p>
    <w:p w14:paraId="4C8EA856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Übersteuerung des LLM bei sicherheitsrelevanten Mustern</w:t>
      </w:r>
    </w:p>
    <w:p w14:paraId="17DCBBDE" w14:textId="77777777" w:rsidR="00B505B2" w:rsidRDefault="00B505B2">
      <w:pPr>
        <w:spacing w:before="60"/>
      </w:pPr>
    </w:p>
    <w:p w14:paraId="0A1FF836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000000"/>
        </w:rPr>
        <w:t>Risikoscoring</w:t>
      </w:r>
      <w:proofErr w:type="spellEnd"/>
      <w:r>
        <w:rPr>
          <w:b/>
          <w:bCs/>
          <w:color w:val="000000"/>
        </w:rPr>
        <w:t xml:space="preserve"> und Komplexitätsbewertung</w:t>
      </w:r>
    </w:p>
    <w:p w14:paraId="0781EAD0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Gewichtung einzelner Symptome und Symptomcluster</w:t>
      </w:r>
    </w:p>
    <w:p w14:paraId="1E19F413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Kombination aus Vorerkrankungen und aktuellen Beschwerden</w:t>
      </w:r>
    </w:p>
    <w:p w14:paraId="64B52D74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Differenzierung akut vs. chronisch</w:t>
      </w:r>
    </w:p>
    <w:p w14:paraId="159DAFF5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Bewertung von Multimorbidität</w:t>
      </w:r>
    </w:p>
    <w:p w14:paraId="5D74044C" w14:textId="77777777" w:rsidR="00B505B2" w:rsidRDefault="00B505B2">
      <w:pPr>
        <w:spacing w:before="60"/>
      </w:pPr>
    </w:p>
    <w:p w14:paraId="46D5BD96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Kontext- und Tier-Integration</w:t>
      </w:r>
    </w:p>
    <w:p w14:paraId="10D70580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Abgleich mit gebuchtem Service-Level</w:t>
      </w:r>
    </w:p>
    <w:p w14:paraId="23FAC975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Berücksichtigung des klinischen Settings</w:t>
      </w:r>
    </w:p>
    <w:p w14:paraId="670F4BB1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Anpassung der maximal zulässigen Anamnesetiefe</w:t>
      </w:r>
    </w:p>
    <w:p w14:paraId="50D7BC5C" w14:textId="77777777" w:rsidR="00B505B2" w:rsidRDefault="00B505B2">
      <w:pPr>
        <w:spacing w:before="60"/>
      </w:pPr>
    </w:p>
    <w:p w14:paraId="7F62074F" w14:textId="77777777" w:rsidR="00B505B2" w:rsidRDefault="009B2B3C">
      <w:pPr>
        <w:pStyle w:val="Listenabsatz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State-</w:t>
      </w:r>
      <w:proofErr w:type="spellStart"/>
      <w:r>
        <w:rPr>
          <w:b/>
          <w:bCs/>
          <w:color w:val="000000"/>
        </w:rPr>
        <w:t>Machine</w:t>
      </w:r>
      <w:proofErr w:type="spellEnd"/>
      <w:r>
        <w:rPr>
          <w:b/>
          <w:bCs/>
          <w:color w:val="000000"/>
        </w:rPr>
        <w:t>-Logik</w:t>
      </w:r>
    </w:p>
    <w:p w14:paraId="6EBF657F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 xml:space="preserve">Definition klarer Zustände: </w:t>
      </w:r>
      <w:proofErr w:type="spellStart"/>
      <w:r>
        <w:rPr>
          <w:color w:val="444444"/>
          <w:sz w:val="20"/>
          <w:szCs w:val="20"/>
        </w:rPr>
        <w:t>Safety</w:t>
      </w:r>
      <w:proofErr w:type="spellEnd"/>
      <w:r>
        <w:rPr>
          <w:color w:val="444444"/>
          <w:sz w:val="20"/>
          <w:szCs w:val="20"/>
        </w:rPr>
        <w:t xml:space="preserve"> / </w:t>
      </w:r>
      <w:proofErr w:type="spellStart"/>
      <w:r>
        <w:rPr>
          <w:color w:val="444444"/>
          <w:sz w:val="20"/>
          <w:szCs w:val="20"/>
        </w:rPr>
        <w:t>Visit</w:t>
      </w:r>
      <w:proofErr w:type="spellEnd"/>
      <w:r>
        <w:rPr>
          <w:color w:val="444444"/>
          <w:sz w:val="20"/>
          <w:szCs w:val="20"/>
        </w:rPr>
        <w:t xml:space="preserve"> / Problem / </w:t>
      </w:r>
      <w:proofErr w:type="spellStart"/>
      <w:r>
        <w:rPr>
          <w:color w:val="444444"/>
          <w:sz w:val="20"/>
          <w:szCs w:val="20"/>
        </w:rPr>
        <w:t>Program</w:t>
      </w:r>
      <w:proofErr w:type="spellEnd"/>
      <w:r>
        <w:rPr>
          <w:color w:val="444444"/>
          <w:sz w:val="20"/>
          <w:szCs w:val="20"/>
        </w:rPr>
        <w:t xml:space="preserve"> Ready</w:t>
      </w:r>
    </w:p>
    <w:p w14:paraId="3FA5A675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Übergangsregeln zwischen Zuständen (explizit spezifiziert, nicht implizit)</w:t>
      </w:r>
    </w:p>
    <w:p w14:paraId="50EFB0F1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Abbruchkriterien für jede Ebene</w:t>
      </w:r>
    </w:p>
    <w:p w14:paraId="1663F09C" w14:textId="77777777" w:rsidR="00B505B2" w:rsidRDefault="009B2B3C">
      <w:pPr>
        <w:pStyle w:val="Listenabsatz"/>
        <w:numPr>
          <w:ilvl w:val="0"/>
          <w:numId w:val="3"/>
        </w:numPr>
        <w:spacing w:before="20" w:after="20"/>
      </w:pPr>
      <w:r>
        <w:rPr>
          <w:color w:val="444444"/>
          <w:sz w:val="20"/>
          <w:szCs w:val="20"/>
        </w:rPr>
        <w:t>Fallback-Logik bei unvollständiger oder widersprüchlicher Eingabe</w:t>
      </w:r>
    </w:p>
    <w:p w14:paraId="13124919" w14:textId="77777777" w:rsidR="00B505B2" w:rsidRDefault="00B505B2">
      <w:pPr>
        <w:spacing w:before="120"/>
      </w:pPr>
    </w:p>
    <w:p w14:paraId="3F8AEEF1" w14:textId="77777777" w:rsidR="00B505B2" w:rsidRDefault="009B2B3C">
      <w:pPr>
        <w:pStyle w:val="berschrift3"/>
      </w:pPr>
      <w:r>
        <w:t>Regulatorischer Hinweis</w:t>
      </w:r>
    </w:p>
    <w:p w14:paraId="4FFD697E" w14:textId="77777777" w:rsidR="00B505B2" w:rsidRDefault="009B2B3C">
      <w:pPr>
        <w:spacing w:before="80" w:after="80"/>
      </w:pPr>
      <w:r>
        <w:rPr>
          <w:color w:val="000000"/>
        </w:rPr>
        <w:t xml:space="preserve">Die Verwendung eines LLM für medizinische Risikobeurteilung berührt regulatorische Anforderungen nach MDR (Risikoklasse </w:t>
      </w:r>
      <w:proofErr w:type="spellStart"/>
      <w:r>
        <w:rPr>
          <w:color w:val="000000"/>
        </w:rPr>
        <w:t>IIa</w:t>
      </w:r>
      <w:proofErr w:type="spellEnd"/>
      <w:r>
        <w:rPr>
          <w:color w:val="000000"/>
        </w:rPr>
        <w:t xml:space="preserve"> oder höher, je nach Funktionsumfang). Die Trennung zwischen LLM-Interpretation und deterministischer Regellogik ist nicht nur architektonisch sinnvoll – sie ist regulatorisch notwendig. Dieser Aspekt muss frühzeitig in die technische Dokumentation einfließen.</w:t>
      </w:r>
    </w:p>
    <w:p w14:paraId="47C4EDBA" w14:textId="77777777" w:rsidR="00B505B2" w:rsidRDefault="00B505B2">
      <w:pPr>
        <w:spacing w:before="200"/>
      </w:pPr>
    </w:p>
    <w:p w14:paraId="68E0C213" w14:textId="77777777" w:rsidR="00B505B2" w:rsidRDefault="00B505B2">
      <w:pPr>
        <w:pBdr>
          <w:bottom w:val="single" w:sz="6" w:space="1" w:color="2E75B6"/>
        </w:pBdr>
        <w:spacing w:before="200" w:after="200"/>
      </w:pPr>
    </w:p>
    <w:p w14:paraId="11823403" w14:textId="77777777" w:rsidR="00B505B2" w:rsidRDefault="009B2B3C">
      <w:pPr>
        <w:pStyle w:val="berschrift1"/>
      </w:pPr>
      <w:r>
        <w:t>Strategischer System-Output</w:t>
      </w:r>
    </w:p>
    <w:p w14:paraId="4B121A26" w14:textId="77777777" w:rsidR="00B505B2" w:rsidRDefault="009B2B3C">
      <w:pPr>
        <w:spacing w:before="80" w:after="80"/>
      </w:pPr>
      <w:r>
        <w:rPr>
          <w:color w:val="000000"/>
        </w:rPr>
        <w:t>PAT ist kein Anamnese-Chatbot im klassischen Sinn. Es ist eine durchgehende digitale Eintrittsarchitektur, die die gesamte Versorgungskette abbildet – von der Sekunde der Unsicherheit bis zur strukturierten Präventionsplanung.</w:t>
      </w:r>
    </w:p>
    <w:p w14:paraId="10821373" w14:textId="77777777" w:rsidR="00B505B2" w:rsidRDefault="00B505B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222"/>
        <w:gridCol w:w="1932"/>
        <w:gridCol w:w="222"/>
        <w:gridCol w:w="1957"/>
        <w:gridCol w:w="222"/>
        <w:gridCol w:w="2543"/>
      </w:tblGrid>
      <w:tr w:rsidR="00B505B2" w14:paraId="470B22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930EEFA" w14:textId="77777777" w:rsidR="00B505B2" w:rsidRDefault="009B2B3C">
            <w:pPr>
              <w:jc w:val="center"/>
            </w:pPr>
            <w:r>
              <w:rPr>
                <w:b/>
                <w:bCs/>
                <w:color w:val="FFFFFF"/>
              </w:rPr>
              <w:t>Notfall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4CE29C" w14:textId="77777777" w:rsidR="00B505B2" w:rsidRDefault="009B2B3C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419E42D4" w14:textId="77777777" w:rsidR="00B505B2" w:rsidRDefault="009B2B3C">
            <w:pPr>
              <w:jc w:val="center"/>
            </w:pPr>
            <w:r>
              <w:rPr>
                <w:b/>
                <w:bCs/>
                <w:color w:val="FFFFFF"/>
              </w:rPr>
              <w:t>Termin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7695C8" w14:textId="77777777" w:rsidR="00B505B2" w:rsidRDefault="009B2B3C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4A90C4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335D0089" w14:textId="77777777" w:rsidR="00B505B2" w:rsidRDefault="009B2B3C">
            <w:pPr>
              <w:jc w:val="center"/>
            </w:pPr>
            <w:r>
              <w:rPr>
                <w:b/>
                <w:bCs/>
                <w:color w:val="FFFFFF"/>
              </w:rPr>
              <w:t>Diagnostik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1EA4A62" w14:textId="77777777" w:rsidR="00B505B2" w:rsidRDefault="009B2B3C">
            <w:pPr>
              <w:jc w:val="center"/>
            </w:pPr>
            <w:r>
              <w:rPr>
                <w:b/>
                <w:bCs/>
                <w:color w:val="2E75B6"/>
              </w:rPr>
              <w:t>→</w:t>
            </w:r>
          </w:p>
        </w:tc>
        <w:tc>
          <w:tcPr>
            <w:tcW w:w="2626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434576F" w14:textId="77777777" w:rsidR="00B505B2" w:rsidRDefault="009B2B3C">
            <w:pPr>
              <w:jc w:val="center"/>
            </w:pPr>
            <w:r>
              <w:rPr>
                <w:b/>
                <w:bCs/>
                <w:color w:val="1F4E79"/>
              </w:rPr>
              <w:t>Prävention</w:t>
            </w:r>
          </w:p>
        </w:tc>
      </w:tr>
    </w:tbl>
    <w:p w14:paraId="112DE4CB" w14:textId="77777777" w:rsidR="00B505B2" w:rsidRDefault="00B505B2">
      <w:pPr>
        <w:spacing w:before="120"/>
      </w:pPr>
    </w:p>
    <w:p w14:paraId="28AEF6AC" w14:textId="77777777" w:rsidR="00B505B2" w:rsidRDefault="009B2B3C">
      <w:pPr>
        <w:spacing w:before="80" w:after="80"/>
      </w:pPr>
      <w:r>
        <w:rPr>
          <w:color w:val="000000"/>
        </w:rPr>
        <w:t>Damit wird Anamnese zu einem skalierbaren, adaptiven Entscheidungsprozess – nicht zu einer statischen Datensammlung. PAT ist das strukturelle Rückgrat einer telemedizinischen Versorgung, die von der ersten Sekunde an klinisch verantwortbar handelt.</w:t>
      </w:r>
    </w:p>
    <w:sectPr w:rsidR="00B505B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8266" w14:textId="77777777" w:rsidR="009B2B3C" w:rsidRDefault="009B2B3C">
      <w:r>
        <w:separator/>
      </w:r>
    </w:p>
  </w:endnote>
  <w:endnote w:type="continuationSeparator" w:id="0">
    <w:p w14:paraId="48199754" w14:textId="77777777" w:rsidR="009B2B3C" w:rsidRDefault="009B2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3BF1" w14:textId="77777777" w:rsidR="00B505B2" w:rsidRDefault="009B2B3C">
    <w:pPr>
      <w:pBdr>
        <w:top w:val="single" w:sz="4" w:space="1" w:color="2E75B6"/>
      </w:pBdr>
      <w:tabs>
        <w:tab w:val="right" w:pos="9026"/>
      </w:tabs>
      <w:spacing w:before="160"/>
    </w:pPr>
    <w:r>
      <w:rPr>
        <w:color w:val="999999"/>
        <w:sz w:val="18"/>
        <w:szCs w:val="18"/>
      </w:rPr>
      <w:t>Vertraulich – Intern</w:t>
    </w:r>
    <w:r>
      <w:rPr>
        <w:color w:val="999999"/>
        <w:sz w:val="18"/>
        <w:szCs w:val="18"/>
      </w:rPr>
      <w:tab/>
      <w:t xml:space="preserve">Seite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2D409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40449" w14:textId="77777777" w:rsidR="009B2B3C" w:rsidRDefault="009B2B3C">
      <w:r>
        <w:separator/>
      </w:r>
    </w:p>
  </w:footnote>
  <w:footnote w:type="continuationSeparator" w:id="0">
    <w:p w14:paraId="450AD786" w14:textId="77777777" w:rsidR="009B2B3C" w:rsidRDefault="009B2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267F" w14:textId="77777777" w:rsidR="00B505B2" w:rsidRDefault="009B2B3C">
    <w:pPr>
      <w:pBdr>
        <w:bottom w:val="single" w:sz="4" w:space="1" w:color="2E75B6"/>
      </w:pBdr>
      <w:tabs>
        <w:tab w:val="right" w:pos="9026"/>
      </w:tabs>
      <w:spacing w:after="160"/>
    </w:pPr>
    <w:r>
      <w:rPr>
        <w:color w:val="666666"/>
        <w:sz w:val="18"/>
        <w:szCs w:val="18"/>
      </w:rPr>
      <w:t xml:space="preserve">PAT – Klinische </w:t>
    </w:r>
    <w:proofErr w:type="spellStart"/>
    <w:r>
      <w:rPr>
        <w:color w:val="666666"/>
        <w:sz w:val="18"/>
        <w:szCs w:val="18"/>
      </w:rPr>
      <w:t>Intake</w:t>
    </w:r>
    <w:proofErr w:type="spellEnd"/>
    <w:r>
      <w:rPr>
        <w:color w:val="666666"/>
        <w:sz w:val="18"/>
        <w:szCs w:val="18"/>
      </w:rPr>
      <w:t>- &amp; Triage-Architektur</w:t>
    </w:r>
    <w:r>
      <w:rPr>
        <w:color w:val="999999"/>
        <w:sz w:val="18"/>
        <w:szCs w:val="18"/>
      </w:rPr>
      <w:tab/>
      <w:t>Architekturpapier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377EC"/>
    <w:multiLevelType w:val="hybridMultilevel"/>
    <w:tmpl w:val="E9C84588"/>
    <w:lvl w:ilvl="0" w:tplc="FFF054BC">
      <w:start w:val="1"/>
      <w:numFmt w:val="bullet"/>
      <w:lvlText w:val="◦"/>
      <w:lvlJc w:val="left"/>
      <w:pPr>
        <w:ind w:left="1080" w:hanging="360"/>
      </w:pPr>
    </w:lvl>
    <w:lvl w:ilvl="1" w:tplc="47D052DA">
      <w:numFmt w:val="decimal"/>
      <w:lvlText w:val=""/>
      <w:lvlJc w:val="left"/>
    </w:lvl>
    <w:lvl w:ilvl="2" w:tplc="106C4C30">
      <w:numFmt w:val="decimal"/>
      <w:lvlText w:val=""/>
      <w:lvlJc w:val="left"/>
    </w:lvl>
    <w:lvl w:ilvl="3" w:tplc="2EEA219C">
      <w:numFmt w:val="decimal"/>
      <w:lvlText w:val=""/>
      <w:lvlJc w:val="left"/>
    </w:lvl>
    <w:lvl w:ilvl="4" w:tplc="BF2C7700">
      <w:numFmt w:val="decimal"/>
      <w:lvlText w:val=""/>
      <w:lvlJc w:val="left"/>
    </w:lvl>
    <w:lvl w:ilvl="5" w:tplc="DB6E9A58">
      <w:numFmt w:val="decimal"/>
      <w:lvlText w:val=""/>
      <w:lvlJc w:val="left"/>
    </w:lvl>
    <w:lvl w:ilvl="6" w:tplc="96107394">
      <w:numFmt w:val="decimal"/>
      <w:lvlText w:val=""/>
      <w:lvlJc w:val="left"/>
    </w:lvl>
    <w:lvl w:ilvl="7" w:tplc="56D225FE">
      <w:numFmt w:val="decimal"/>
      <w:lvlText w:val=""/>
      <w:lvlJc w:val="left"/>
    </w:lvl>
    <w:lvl w:ilvl="8" w:tplc="D38E8B84">
      <w:numFmt w:val="decimal"/>
      <w:lvlText w:val=""/>
      <w:lvlJc w:val="left"/>
    </w:lvl>
  </w:abstractNum>
  <w:abstractNum w:abstractNumId="1" w15:restartNumberingAfterBreak="0">
    <w:nsid w:val="6CFE0D89"/>
    <w:multiLevelType w:val="hybridMultilevel"/>
    <w:tmpl w:val="F7A88694"/>
    <w:lvl w:ilvl="0" w:tplc="81B0B762">
      <w:start w:val="1"/>
      <w:numFmt w:val="bullet"/>
      <w:lvlText w:val="•"/>
      <w:lvlJc w:val="left"/>
      <w:pPr>
        <w:ind w:left="720" w:hanging="360"/>
      </w:pPr>
    </w:lvl>
    <w:lvl w:ilvl="1" w:tplc="DF9E3CDE">
      <w:numFmt w:val="decimal"/>
      <w:lvlText w:val=""/>
      <w:lvlJc w:val="left"/>
    </w:lvl>
    <w:lvl w:ilvl="2" w:tplc="63985134">
      <w:numFmt w:val="decimal"/>
      <w:lvlText w:val=""/>
      <w:lvlJc w:val="left"/>
    </w:lvl>
    <w:lvl w:ilvl="3" w:tplc="8C9261BC">
      <w:numFmt w:val="decimal"/>
      <w:lvlText w:val=""/>
      <w:lvlJc w:val="left"/>
    </w:lvl>
    <w:lvl w:ilvl="4" w:tplc="CBD65746">
      <w:numFmt w:val="decimal"/>
      <w:lvlText w:val=""/>
      <w:lvlJc w:val="left"/>
    </w:lvl>
    <w:lvl w:ilvl="5" w:tplc="A2505872">
      <w:numFmt w:val="decimal"/>
      <w:lvlText w:val=""/>
      <w:lvlJc w:val="left"/>
    </w:lvl>
    <w:lvl w:ilvl="6" w:tplc="846206CA">
      <w:numFmt w:val="decimal"/>
      <w:lvlText w:val=""/>
      <w:lvlJc w:val="left"/>
    </w:lvl>
    <w:lvl w:ilvl="7" w:tplc="EF40FC5C">
      <w:numFmt w:val="decimal"/>
      <w:lvlText w:val=""/>
      <w:lvlJc w:val="left"/>
    </w:lvl>
    <w:lvl w:ilvl="8" w:tplc="F74A8F84">
      <w:numFmt w:val="decimal"/>
      <w:lvlText w:val=""/>
      <w:lvlJc w:val="left"/>
    </w:lvl>
  </w:abstractNum>
  <w:abstractNum w:abstractNumId="2" w15:restartNumberingAfterBreak="0">
    <w:nsid w:val="778C7D3E"/>
    <w:multiLevelType w:val="hybridMultilevel"/>
    <w:tmpl w:val="1B40AC1E"/>
    <w:lvl w:ilvl="0" w:tplc="8E70F106">
      <w:start w:val="1"/>
      <w:numFmt w:val="bullet"/>
      <w:lvlText w:val="●"/>
      <w:lvlJc w:val="left"/>
      <w:pPr>
        <w:ind w:left="720" w:hanging="360"/>
      </w:pPr>
    </w:lvl>
    <w:lvl w:ilvl="1" w:tplc="F6AE08D2">
      <w:start w:val="1"/>
      <w:numFmt w:val="bullet"/>
      <w:lvlText w:val="○"/>
      <w:lvlJc w:val="left"/>
      <w:pPr>
        <w:ind w:left="1440" w:hanging="360"/>
      </w:pPr>
    </w:lvl>
    <w:lvl w:ilvl="2" w:tplc="9EBAF0E4">
      <w:start w:val="1"/>
      <w:numFmt w:val="bullet"/>
      <w:lvlText w:val="■"/>
      <w:lvlJc w:val="left"/>
      <w:pPr>
        <w:ind w:left="2160" w:hanging="360"/>
      </w:pPr>
    </w:lvl>
    <w:lvl w:ilvl="3" w:tplc="E4761AC8">
      <w:start w:val="1"/>
      <w:numFmt w:val="bullet"/>
      <w:lvlText w:val="●"/>
      <w:lvlJc w:val="left"/>
      <w:pPr>
        <w:ind w:left="2880" w:hanging="360"/>
      </w:pPr>
    </w:lvl>
    <w:lvl w:ilvl="4" w:tplc="CC8CA676">
      <w:start w:val="1"/>
      <w:numFmt w:val="bullet"/>
      <w:lvlText w:val="○"/>
      <w:lvlJc w:val="left"/>
      <w:pPr>
        <w:ind w:left="3600" w:hanging="360"/>
      </w:pPr>
    </w:lvl>
    <w:lvl w:ilvl="5" w:tplc="77AEDF94">
      <w:start w:val="1"/>
      <w:numFmt w:val="bullet"/>
      <w:lvlText w:val="■"/>
      <w:lvlJc w:val="left"/>
      <w:pPr>
        <w:ind w:left="4320" w:hanging="360"/>
      </w:pPr>
    </w:lvl>
    <w:lvl w:ilvl="6" w:tplc="E7D0C07C">
      <w:start w:val="1"/>
      <w:numFmt w:val="bullet"/>
      <w:lvlText w:val="●"/>
      <w:lvlJc w:val="left"/>
      <w:pPr>
        <w:ind w:left="5040" w:hanging="360"/>
      </w:pPr>
    </w:lvl>
    <w:lvl w:ilvl="7" w:tplc="FAC29EAA">
      <w:start w:val="1"/>
      <w:numFmt w:val="bullet"/>
      <w:lvlText w:val="●"/>
      <w:lvlJc w:val="left"/>
      <w:pPr>
        <w:ind w:left="5760" w:hanging="360"/>
      </w:pPr>
    </w:lvl>
    <w:lvl w:ilvl="8" w:tplc="6820153E">
      <w:start w:val="1"/>
      <w:numFmt w:val="bullet"/>
      <w:lvlText w:val="●"/>
      <w:lvlJc w:val="left"/>
      <w:pPr>
        <w:ind w:left="6480" w:hanging="360"/>
      </w:pPr>
    </w:lvl>
  </w:abstractNum>
  <w:num w:numId="1" w16cid:durableId="1213273995">
    <w:abstractNumId w:val="2"/>
    <w:lvlOverride w:ilvl="0">
      <w:startOverride w:val="1"/>
    </w:lvlOverride>
  </w:num>
  <w:num w:numId="2" w16cid:durableId="612396846">
    <w:abstractNumId w:val="1"/>
    <w:lvlOverride w:ilvl="0">
      <w:startOverride w:val="1"/>
    </w:lvlOverride>
  </w:num>
  <w:num w:numId="3" w16cid:durableId="1493253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5B2"/>
    <w:rsid w:val="002D4095"/>
    <w:rsid w:val="003B24F9"/>
    <w:rsid w:val="009B2B3C"/>
    <w:rsid w:val="00A76D1D"/>
    <w:rsid w:val="00B5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13CA0"/>
  <w15:docId w15:val="{2C48F5D1-B38A-F140-B758-D7637FCC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80"/>
      <w:outlineLvl w:val="2"/>
    </w:pPr>
    <w:rPr>
      <w:b/>
      <w:bCs/>
      <w:color w:val="00000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1043</Words>
  <Characters>7960</Characters>
  <Application>Microsoft Office Word</Application>
  <DocSecurity>0</DocSecurity>
  <Lines>240</Lines>
  <Paragraphs>138</Paragraphs>
  <ScaleCrop>false</ScaleCrop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2026-02-19T13:59:00Z</dcterms:created>
  <dcterms:modified xsi:type="dcterms:W3CDTF">2026-02-19T13:59:00Z</dcterms:modified>
</cp:coreProperties>
</file>