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6F5C"/>
          <w:sz w:val="30"/>
          <w:szCs w:val="30"/>
        </w:rPr>
        <w:t xml:space="preserve">DIVINI GROUP</w:t>
      </w:r>
    </w:p>
    <w:p>
      <w:pPr>
        <w:spacing w:after="60"/>
        <w:jc w:val="center"/>
      </w:pPr>
      <w:r>
        <w:rPr>
          <w:rFonts w:ascii="Arial" w:cs="Arial" w:eastAsia="Arial" w:hAnsi="Arial"/>
          <w:b/>
          <w:bCs/>
          <w:sz w:val="30"/>
          <w:szCs w:val="30"/>
        </w:rPr>
        <w:t xml:space="preserve">Partner Agreement</w:t>
      </w:r>
    </w:p>
    <w:p>
      <w:pPr>
        <w:spacing w:after="240"/>
        <w:jc w:val="center"/>
      </w:pPr>
      <w:r>
        <w:rPr>
          <w:rFonts w:ascii="Arial" w:cs="Arial" w:eastAsia="Arial" w:hAnsi="Arial"/>
          <w:i/>
          <w:iCs/>
          <w:color w:val="666666"/>
          <w:sz w:val="22"/>
          <w:szCs w:val="22"/>
        </w:rPr>
        <w:t xml:space="preserve">Non-Exclusive Marketplace Partnership</w:t>
      </w:r>
    </w:p>
    <w:p>
      <w:pPr>
        <w:spacing w:after="160"/>
      </w:pPr>
      <w:r>
        <w:rPr>
          <w:rFonts w:ascii="Arial" w:cs="Arial" w:eastAsia="Arial" w:hAnsi="Arial"/>
          <w:sz w:val="22"/>
          <w:szCs w:val="22"/>
        </w:rPr>
        <w:t xml:space="preserve">This Partner Agreement (the “Agreement”) is entered into as of </w:t>
      </w:r>
      <w:r>
        <w:rPr>
          <w:b/>
          <w:bCs/>
          <w:color w:val="1F6F5C"/>
        </w:rPr>
        <w:t xml:space="preserve">[EFFECTIVE DATE]</w:t>
      </w:r>
      <w:r>
        <w:rPr>
          <w:rFonts w:ascii="Arial" w:cs="Arial" w:eastAsia="Arial" w:hAnsi="Arial"/>
          <w:sz w:val="22"/>
          <w:szCs w:val="22"/>
        </w:rPr>
        <w:t xml:space="preserve"> by and between Divini Group LLC, a Florida limited liability company, on behalf of itself and its subsidiaries and affiliates (including Divini Partners) (collectively, “Divini”), and </w:t>
      </w:r>
      <w:r>
        <w:rPr>
          <w:b/>
          <w:bCs/>
          <w:color w:val="1F6F5C"/>
        </w:rPr>
        <w:t xml:space="preserve">[PARTNER LEGAL NAME]</w:t>
      </w:r>
      <w:r>
        <w:rPr>
          <w:rFonts w:ascii="Arial" w:cs="Arial" w:eastAsia="Arial" w:hAnsi="Arial"/>
          <w:sz w:val="22"/>
          <w:szCs w:val="22"/>
        </w:rPr>
        <w:t xml:space="preserve"> (the “Partner”). Divini and Partner are each a “Party” and together the “Parties.”</w:t>
      </w:r>
    </w:p>
    <w:p>
      <w:pPr>
        <w:spacing w:after="200"/>
      </w:pPr>
      <w:r>
        <w:rPr>
          <w:rFonts w:ascii="Arial" w:cs="Arial" w:eastAsia="Arial" w:hAnsi="Arial"/>
          <w:b/>
          <w:bCs/>
          <w:sz w:val="22"/>
          <w:szCs w:val="22"/>
        </w:rPr>
        <w:t xml:space="preserve">Contracting Entity (Divini): </w:t>
      </w:r>
      <w:r>
        <w:rPr>
          <w:b/>
          <w:bCs/>
          <w:color w:val="1F6F5C"/>
        </w:rPr>
        <w:t xml:space="preserve">[DIVINI PARTNERS]</w:t>
      </w:r>
      <w:r>
        <w:rPr>
          <w:rFonts w:ascii="Arial" w:cs="Arial" w:eastAsia="Arial" w:hAnsi="Arial"/>
          <w:color w:val="666666"/>
          <w:sz w:val="20"/>
          <w:szCs w:val="20"/>
        </w:rPr>
        <w:t xml:space="preserve">   (select the applicable Divini Group entity or brand)</w:t>
      </w:r>
    </w:p>
    <w:p>
      <w:pPr>
        <w:spacing w:after="60" w:before="200"/>
      </w:pPr>
      <w:r>
        <w:rPr>
          <w:rFonts w:ascii="Arial" w:cs="Arial" w:eastAsia="Arial" w:hAnsi="Arial"/>
          <w:b/>
          <w:bCs/>
          <w:sz w:val="24"/>
          <w:szCs w:val="24"/>
        </w:rPr>
        <w:t xml:space="preserve">1. Engagement; Non-Exclusive; Vendor Assignment</w:t>
      </w:r>
    </w:p>
    <w:p>
      <w:pPr>
        <w:spacing w:after="120"/>
      </w:pPr>
      <w:r>
        <w:rPr>
          <w:rFonts w:ascii="Arial" w:cs="Arial" w:eastAsia="Arial" w:hAnsi="Arial"/>
          <w:sz w:val="22"/>
          <w:szCs w:val="22"/>
        </w:rPr>
        <w:t xml:space="preserve">Divini engages Partner on a NON-EXCLUSIVE basis to provide the products and services described in Schedule A to clients sourced through the Divini platform. This Agreement does not grant Partner any exclusivity and does not guarantee any minimum volume of work.</w:t>
      </w:r>
    </w:p>
    <w:p>
      <w:pPr>
        <w:spacing w:after="120"/>
      </w:pPr>
      <w:r>
        <w:rPr>
          <w:rFonts w:ascii="Arial" w:cs="Arial" w:eastAsia="Arial" w:hAnsi="Arial"/>
          <w:sz w:val="22"/>
          <w:szCs w:val="22"/>
        </w:rPr>
        <w:t xml:space="preserve">If Partner is at or near capacity, unavailable, in overflow, or otherwise unable to fulfill a given request on the timeline required, Divini may, in its sole discretion, engage one or more other vendors to fulfill that request, without penalty or obligation to Partner.</w:t>
      </w:r>
    </w:p>
    <w:p>
      <w:pPr>
        <w:spacing w:after="120"/>
      </w:pPr>
      <w:r>
        <w:rPr>
          <w:rFonts w:ascii="Arial" w:cs="Arial" w:eastAsia="Arial" w:hAnsi="Arial"/>
          <w:sz w:val="22"/>
          <w:szCs w:val="22"/>
        </w:rPr>
        <w:t xml:space="preserve">Vendor Assignment. Divini, in its sole discretion, assigns the vendor or vendors who will fulfill each client engagement sourced through the platform. The Partner’s contract is with Divini Group, not with any assigned vendor or client, and the Partner’s rights and obligations remain with Divini regardless of which vendor is assigned.</w:t>
      </w:r>
    </w:p>
    <w:p>
      <w:pPr>
        <w:spacing w:after="120"/>
      </w:pPr>
      <w:r>
        <w:rPr>
          <w:rFonts w:ascii="Arial" w:cs="Arial" w:eastAsia="Arial" w:hAnsi="Arial"/>
          <w:sz w:val="22"/>
          <w:szCs w:val="22"/>
        </w:rPr>
        <w:t xml:space="preserve">Removal and Replacement. Divini may remove or replace any assigned vendor (including Partner) from any engagement or from this Agreement at any time, effective immediately upon notice, for breach of contract, circumvention of the platform, performance or quality concerns, loss of required licensing or insurance, capacity or overflow, or any other reason, in each case without penalty or liability to Divini. Amounts properly earned for work completed before removal remain payable.</w:t>
      </w:r>
    </w:p>
    <w:p>
      <w:pPr>
        <w:spacing w:after="60" w:before="200"/>
      </w:pPr>
      <w:r>
        <w:rPr>
          <w:rFonts w:ascii="Arial" w:cs="Arial" w:eastAsia="Arial" w:hAnsi="Arial"/>
          <w:b/>
          <w:bCs/>
          <w:sz w:val="24"/>
          <w:szCs w:val="24"/>
        </w:rPr>
        <w:t xml:space="preserve">2. Pricing and Fees</w:t>
      </w:r>
    </w:p>
    <w:p>
      <w:pPr>
        <w:spacing w:after="120"/>
      </w:pPr>
      <w:r>
        <w:rPr>
          <w:rFonts w:ascii="Arial" w:cs="Arial" w:eastAsia="Arial" w:hAnsi="Arial"/>
          <w:sz w:val="22"/>
          <w:szCs w:val="22"/>
        </w:rPr>
        <w:t xml:space="preserve">(a) Partner Pricing. Partner provides its contract pricing and rate card for the products and services it will deliver (the “Partner Pricing”), set out in Schedule A and updated from time to time in writing.</w:t>
      </w:r>
    </w:p>
    <w:p>
      <w:pPr>
        <w:spacing w:after="120"/>
      </w:pPr>
      <w:r>
        <w:rPr>
          <w:rFonts w:ascii="Arial" w:cs="Arial" w:eastAsia="Arial" w:hAnsi="Arial"/>
          <w:sz w:val="22"/>
          <w:szCs w:val="22"/>
        </w:rPr>
        <w:t xml:space="preserve">(b) Divini Margin. Divini applies a margin of </w:t>
      </w:r>
      <w:r>
        <w:rPr>
          <w:b/>
          <w:bCs/>
          <w:color w:val="1F6F5C"/>
        </w:rPr>
        <w:t xml:space="preserve">[____]%</w:t>
      </w:r>
      <w:r>
        <w:rPr>
          <w:rFonts w:ascii="Arial" w:cs="Arial" w:eastAsia="Arial" w:hAnsi="Arial"/>
          <w:sz w:val="22"/>
          <w:szCs w:val="22"/>
        </w:rPr>
        <w:t xml:space="preserve"> on top of the Partner Pricing (the “Divini Margin”). The Divini Margin is retained by Divini.</w:t>
      </w:r>
    </w:p>
    <w:p>
      <w:pPr>
        <w:spacing w:after="120"/>
      </w:pPr>
      <w:r>
        <w:rPr>
          <w:rFonts w:ascii="Arial" w:cs="Arial" w:eastAsia="Arial" w:hAnsi="Arial"/>
          <w:sz w:val="22"/>
          <w:szCs w:val="22"/>
        </w:rPr>
        <w:t xml:space="preserve">(c) Partner Incentive (Optional). For certain venue or vendor agreements, the Parties may agree to an additional incentive amount or percentage (a “Partner Incentive” or kickback) of </w:t>
      </w:r>
      <w:r>
        <w:rPr>
          <w:b/>
          <w:bCs/>
          <w:color w:val="1F6F5C"/>
        </w:rPr>
        <w:t xml:space="preserve">[____]</w:t>
      </w:r>
      <w:r>
        <w:rPr>
          <w:rFonts w:ascii="Arial" w:cs="Arial" w:eastAsia="Arial" w:hAnsi="Arial"/>
          <w:sz w:val="22"/>
          <w:szCs w:val="22"/>
        </w:rPr>
        <w:t xml:space="preserve">, which is added on top of both the Partner Pricing and the Divini Margin. Where no Partner Incentive is agreed, this component is zero.</w:t>
      </w:r>
    </w:p>
    <w:p>
      <w:pPr>
        <w:spacing w:after="160"/>
      </w:pPr>
      <w:r>
        <w:rPr>
          <w:rFonts w:ascii="Arial" w:cs="Arial" w:eastAsia="Arial" w:hAnsi="Arial"/>
          <w:sz w:val="22"/>
          <w:szCs w:val="22"/>
        </w:rPr>
        <w:t xml:space="preserve">(d) Client Total. The total amount charged to the client equals: </w:t>
      </w:r>
      <w:r>
        <w:rPr>
          <w:rFonts w:ascii="Arial" w:cs="Arial" w:eastAsia="Arial" w:hAnsi="Arial"/>
          <w:b/>
          <w:bCs/>
          <w:sz w:val="22"/>
          <w:szCs w:val="22"/>
        </w:rPr>
        <w:t xml:space="preserve">Partner Pricing + Divini Margin + Partner Incentive (if any)</w:t>
      </w:r>
      <w:r>
        <w:rPr>
          <w:rFonts w:ascii="Arial" w:cs="Arial" w:eastAsia="Arial" w:hAnsi="Arial"/>
          <w:sz w:val="22"/>
          <w:szCs w:val="22"/>
        </w:rPr>
        <w:t xml:space="preserve">. The client pays this single Client Total through the Divini platform.</w:t>
      </w:r>
    </w:p>
    <w:p>
      <w:pPr>
        <w:spacing w:after="60" w:before="200"/>
      </w:pPr>
      <w:r>
        <w:rPr>
          <w:rFonts w:ascii="Arial" w:cs="Arial" w:eastAsia="Arial" w:hAnsi="Arial"/>
          <w:b/>
          <w:bCs/>
          <w:sz w:val="24"/>
          <w:szCs w:val="24"/>
        </w:rPr>
        <w:t xml:space="preserve">3. Payments and Payouts</w:t>
      </w:r>
    </w:p>
    <w:p>
      <w:pPr>
        <w:spacing w:after="120"/>
      </w:pPr>
      <w:r>
        <w:rPr>
          <w:rFonts w:ascii="Arial" w:cs="Arial" w:eastAsia="Arial" w:hAnsi="Arial"/>
          <w:sz w:val="22"/>
          <w:szCs w:val="22"/>
        </w:rPr>
        <w:t xml:space="preserve">All client payments for transactions originating through the Divini platform are processed through the platform. Divini collects the Client Total from the client.</w:t>
      </w:r>
    </w:p>
    <w:p>
      <w:pPr>
        <w:spacing w:after="160"/>
      </w:pPr>
      <w:r>
        <w:rPr>
          <w:rFonts w:ascii="Arial" w:cs="Arial" w:eastAsia="Arial" w:hAnsi="Arial"/>
          <w:sz w:val="22"/>
          <w:szCs w:val="22"/>
        </w:rPr>
        <w:t xml:space="preserve">Divini remits the Partner Pricing portion to Partner by ACH deposit to the bank account Partner designates, net of the Divini Margin, any Partner Incentive, and applicable platform and processing fees, within </w:t>
      </w:r>
      <w:r>
        <w:rPr>
          <w:b/>
          <w:bCs/>
          <w:color w:val="1F6F5C"/>
        </w:rPr>
        <w:t xml:space="preserve">[____]</w:t>
      </w:r>
      <w:r>
        <w:rPr>
          <w:rFonts w:ascii="Arial" w:cs="Arial" w:eastAsia="Arial" w:hAnsi="Arial"/>
          <w:sz w:val="22"/>
          <w:szCs w:val="22"/>
        </w:rPr>
        <w:t xml:space="preserve"> days after the client’s payment has cleared (or after event completion, as the Parties specify). Partner is responsible for keeping its payout and tax information current.</w:t>
      </w:r>
    </w:p>
    <w:p>
      <w:pPr>
        <w:spacing w:after="60" w:before="200"/>
      </w:pPr>
      <w:r>
        <w:rPr>
          <w:rFonts w:ascii="Arial" w:cs="Arial" w:eastAsia="Arial" w:hAnsi="Arial"/>
          <w:b/>
          <w:bCs/>
          <w:sz w:val="24"/>
          <w:szCs w:val="24"/>
        </w:rPr>
        <w:t xml:space="preserve">4. Non-Circumvention</w:t>
      </w:r>
    </w:p>
    <w:p>
      <w:pPr>
        <w:spacing w:after="120"/>
      </w:pPr>
      <w:r>
        <w:rPr>
          <w:rFonts w:ascii="Arial" w:cs="Arial" w:eastAsia="Arial" w:hAnsi="Arial"/>
          <w:sz w:val="22"/>
          <w:szCs w:val="22"/>
        </w:rPr>
        <w:t xml:space="preserve">During the term and for twelve (12) months after, neither Party will solicit or transact, outside the Divini platform, business that originated through the platform or through an introduction made under this Agreement, so as to avoid the fees set out above. This does not restrict either Party’s pre-existing relationships.</w:t>
      </w:r>
    </w:p>
    <w:p>
      <w:pPr>
        <w:spacing w:after="60" w:before="200"/>
      </w:pPr>
      <w:r>
        <w:rPr>
          <w:rFonts w:ascii="Arial" w:cs="Arial" w:eastAsia="Arial" w:hAnsi="Arial"/>
          <w:b/>
          <w:bCs/>
          <w:sz w:val="24"/>
          <w:szCs w:val="24"/>
        </w:rPr>
        <w:t xml:space="preserve">5. Independent Contractor</w:t>
      </w:r>
    </w:p>
    <w:p>
      <w:pPr>
        <w:spacing w:after="120"/>
      </w:pPr>
      <w:r>
        <w:rPr>
          <w:rFonts w:ascii="Arial" w:cs="Arial" w:eastAsia="Arial" w:hAnsi="Arial"/>
          <w:sz w:val="22"/>
          <w:szCs w:val="22"/>
        </w:rPr>
        <w:t xml:space="preserve">Partner is an independent contractor. Nothing in this Agreement creates an employment, agency, partnership, or joint-venture relationship. Each Party is responsible for its own taxes, insurance, licensing, and personnel.</w:t>
      </w:r>
    </w:p>
    <w:p>
      <w:pPr>
        <w:spacing w:after="60" w:before="200"/>
      </w:pPr>
      <w:r>
        <w:rPr>
          <w:rFonts w:ascii="Arial" w:cs="Arial" w:eastAsia="Arial" w:hAnsi="Arial"/>
          <w:b/>
          <w:bCs/>
          <w:sz w:val="24"/>
          <w:szCs w:val="24"/>
        </w:rPr>
        <w:t xml:space="preserve">6. Term and Termination</w:t>
      </w:r>
    </w:p>
    <w:p>
      <w:pPr>
        <w:spacing w:after="120"/>
      </w:pPr>
      <w:r>
        <w:rPr>
          <w:rFonts w:ascii="Arial" w:cs="Arial" w:eastAsia="Arial" w:hAnsi="Arial"/>
          <w:sz w:val="22"/>
          <w:szCs w:val="22"/>
        </w:rPr>
        <w:t xml:space="preserve">This Agreement begins on the Effective Date and continues until terminated. Because the engagement is non-exclusive, either Party may terminate for convenience on thirty (30) days’ written notice. Obligations accrued before termination (including payment for work already booked) survive.</w:t>
      </w:r>
    </w:p>
    <w:p>
      <w:pPr>
        <w:spacing w:after="60" w:before="200"/>
      </w:pPr>
      <w:r>
        <w:rPr>
          <w:rFonts w:ascii="Arial" w:cs="Arial" w:eastAsia="Arial" w:hAnsi="Arial"/>
          <w:b/>
          <w:bCs/>
          <w:sz w:val="24"/>
          <w:szCs w:val="24"/>
        </w:rPr>
        <w:t xml:space="preserve">7. Confidentiality</w:t>
      </w:r>
    </w:p>
    <w:p>
      <w:pPr>
        <w:spacing w:after="120"/>
      </w:pPr>
      <w:r>
        <w:rPr>
          <w:rFonts w:ascii="Arial" w:cs="Arial" w:eastAsia="Arial" w:hAnsi="Arial"/>
          <w:sz w:val="22"/>
          <w:szCs w:val="22"/>
        </w:rPr>
        <w:t xml:space="preserve">Each Party will protect the other’s non-public business, pricing, and client information and use it only to perform under this Agreement.</w:t>
      </w:r>
    </w:p>
    <w:p>
      <w:pPr>
        <w:spacing w:after="60" w:before="200"/>
      </w:pPr>
      <w:r>
        <w:rPr>
          <w:rFonts w:ascii="Arial" w:cs="Arial" w:eastAsia="Arial" w:hAnsi="Arial"/>
          <w:b/>
          <w:bCs/>
          <w:sz w:val="24"/>
          <w:szCs w:val="24"/>
        </w:rPr>
        <w:t xml:space="preserve">8. Compliance; Licensing; Insurance</w:t>
      </w:r>
    </w:p>
    <w:p>
      <w:pPr>
        <w:spacing w:after="120"/>
      </w:pPr>
      <w:r>
        <w:rPr>
          <w:rFonts w:ascii="Arial" w:cs="Arial" w:eastAsia="Arial" w:hAnsi="Arial"/>
          <w:sz w:val="22"/>
          <w:szCs w:val="22"/>
        </w:rPr>
        <w:t xml:space="preserve">Partner represents that it holds all licenses, permits, and insurance required to provide its services and will comply with applicable law in performing under this Agreement.</w:t>
      </w:r>
    </w:p>
    <w:p>
      <w:pPr>
        <w:spacing w:after="60" w:before="200"/>
      </w:pPr>
      <w:r>
        <w:rPr>
          <w:rFonts w:ascii="Arial" w:cs="Arial" w:eastAsia="Arial" w:hAnsi="Arial"/>
          <w:b/>
          <w:bCs/>
          <w:sz w:val="24"/>
          <w:szCs w:val="24"/>
        </w:rPr>
        <w:t xml:space="preserve">9. Governing Law</w:t>
      </w:r>
    </w:p>
    <w:p>
      <w:pPr>
        <w:spacing w:after="120"/>
      </w:pPr>
      <w:r>
        <w:rPr>
          <w:rFonts w:ascii="Arial" w:cs="Arial" w:eastAsia="Arial" w:hAnsi="Arial"/>
          <w:sz w:val="22"/>
          <w:szCs w:val="22"/>
        </w:rPr>
        <w:t xml:space="preserve">This Agreement is governed by the laws of the State of Florida, without regard to its conflict-of-laws rules.</w:t>
      </w:r>
    </w:p>
    <w:p>
      <w:pPr>
        <w:spacing w:after="60" w:before="200"/>
      </w:pPr>
      <w:r>
        <w:rPr>
          <w:rFonts w:ascii="Arial" w:cs="Arial" w:eastAsia="Arial" w:hAnsi="Arial"/>
          <w:b/>
          <w:bCs/>
          <w:sz w:val="24"/>
          <w:szCs w:val="24"/>
        </w:rPr>
        <w:t xml:space="preserve">10. Entire Agreement</w:t>
      </w:r>
    </w:p>
    <w:p>
      <w:pPr>
        <w:spacing w:after="120"/>
      </w:pPr>
      <w:r>
        <w:rPr>
          <w:rFonts w:ascii="Arial" w:cs="Arial" w:eastAsia="Arial" w:hAnsi="Arial"/>
          <w:sz w:val="22"/>
          <w:szCs w:val="22"/>
        </w:rPr>
        <w:t xml:space="preserve">This Agreement, together with Schedule A, is the entire agreement between the Parties on its subject matter and supersedes prior discussions. Amendments must be in writing and signed by both Parties.</w:t>
      </w:r>
    </w:p>
    <w:p>
      <w:pPr>
        <w:pStyle w:val="Heading1"/>
        <w:pageBreakBefore/>
      </w:pPr>
      <w:r>
        <w:t xml:space="preserve">Schedule A — Pricing</w:t>
      </w:r>
    </w:p>
    <w:p>
      <w:pPr>
        <w:spacing w:after="160"/>
      </w:pPr>
      <w:r>
        <w:rPr>
          <w:rFonts w:ascii="Arial" w:cs="Arial" w:eastAsia="Arial" w:hAnsi="Arial"/>
          <w:sz w:val="22"/>
          <w:szCs w:val="22"/>
        </w:rPr>
        <w:t xml:space="preserve">Complete the blanks below. The platform applies the Divini Margin (and any Partner Incentive) on top of Partner Pricing automatically when generating client-facing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EAF3EF"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3120"/>
            <w:tcBorders>
              <w:top w:val="single" w:color="CCCCCC" w:sz="1"/>
              <w:left w:val="single" w:color="CCCCCC" w:sz="1"/>
              <w:bottom w:val="single" w:color="CCCCCC" w:sz="1"/>
              <w:right w:val="single" w:color="CCCCCC" w:sz="1"/>
            </w:tcBorders>
            <w:shd w:fill="EAF3EF" w:val="clear"/>
            <w:tcMar>
              <w:top w:type="dxa" w:w="80"/>
              <w:left w:type="dxa" w:w="120"/>
              <w:bottom w:type="dxa" w:w="80"/>
              <w:right w:type="dxa" w:w="120"/>
            </w:tcMar>
          </w:tcPr>
          <w:p>
            <w:r>
              <w:rPr>
                <w:rFonts w:ascii="Arial" w:cs="Arial" w:eastAsia="Arial" w:hAnsi="Arial"/>
                <w:b/>
                <w:bCs/>
                <w:sz w:val="20"/>
                <w:szCs w:val="20"/>
              </w:rPr>
              <w:t xml:space="preserve">Value / Rate</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or product (description)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[__________]</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Partner Pricing (base contract 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[______]</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Divini Margin (added on 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[____] %</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Partner Incentive / kickback (optional, added on top)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[____] % or $ [______]</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Total (Partner Pricing + Divini Margin + Incentive)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auto-calculated</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Payout method to Partner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ACH deposit</w:t>
            </w:r>
          </w:p>
        </w:tc>
      </w:tr>
      <w:t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Payout timing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[____] days of cleared payment</w:t>
            </w:r>
          </w:p>
        </w:tc>
      </w:tr>
    </w:tbl>
    <w:p>
      <w:pPr>
        <w:pStyle w:val="Heading1"/>
        <w:spacing w:after="120" w:before="320"/>
      </w:pPr>
      <w:r>
        <w:t xml:space="preserve">Signatures</w:t>
      </w:r>
    </w:p>
    <w:p>
      <w:pPr>
        <w:spacing w:after="60"/>
      </w:pPr>
      <w:r>
        <w:rPr>
          <w:rFonts w:ascii="Arial" w:cs="Arial" w:eastAsia="Arial" w:hAnsi="Arial"/>
          <w:b/>
          <w:bCs/>
          <w:sz w:val="22"/>
          <w:szCs w:val="22"/>
        </w:rPr>
        <w:t xml:space="preserve">DIVINI GROUP LLC</w:t>
      </w:r>
    </w:p>
    <w:p>
      <w:pPr>
        <w:spacing w:after="30"/>
      </w:pPr>
      <w:r>
        <w:rPr>
          <w:rFonts w:ascii="Arial" w:cs="Arial" w:eastAsia="Arial" w:hAnsi="Arial"/>
          <w:sz w:val="22"/>
          <w:szCs w:val="22"/>
        </w:rPr>
        <w:t xml:space="preserve">By: </w:t>
      </w:r>
      <w:r>
        <w:rPr>
          <w:b/>
          <w:bCs/>
          <w:color w:val="1F6F5C"/>
        </w:rPr>
        <w:t xml:space="preserve">[DIVINI SIGNATORY NAME]</w:t>
      </w:r>
      <w:r>
        <w:rPr>
          <w:rFonts w:ascii="Arial" w:cs="Arial" w:eastAsia="Arial" w:hAnsi="Arial"/>
          <w:color w:val="666666"/>
          <w:sz w:val="20"/>
          <w:szCs w:val="20"/>
        </w:rPr>
        <w:t xml:space="preserve">   (auto-signed on execution)</w:t>
      </w:r>
    </w:p>
    <w:p>
      <w:pPr>
        <w:spacing w:after="30"/>
      </w:pPr>
      <w:r>
        <w:rPr>
          <w:rFonts w:ascii="Arial" w:cs="Arial" w:eastAsia="Arial" w:hAnsi="Arial"/>
          <w:sz w:val="22"/>
          <w:szCs w:val="22"/>
        </w:rPr>
        <w:t xml:space="preserve">Title: </w:t>
      </w:r>
      <w:r>
        <w:rPr>
          <w:b/>
          <w:bCs/>
          <w:color w:val="1F6F5C"/>
        </w:rPr>
        <w:t xml:space="preserve">[TITLE]</w:t>
      </w:r>
    </w:p>
    <w:p>
      <w:pPr>
        <w:spacing w:after="200"/>
      </w:pPr>
      <w:r>
        <w:rPr>
          <w:rFonts w:ascii="Arial" w:cs="Arial" w:eastAsia="Arial" w:hAnsi="Arial"/>
          <w:sz w:val="22"/>
          <w:szCs w:val="22"/>
        </w:rPr>
        <w:t xml:space="preserve">Date: </w:t>
      </w:r>
      <w:r>
        <w:rPr>
          <w:b/>
          <w:bCs/>
          <w:color w:val="1F6F5C"/>
        </w:rPr>
        <w:t xml:space="preserve">[DATE]</w:t>
      </w:r>
    </w:p>
    <w:p>
      <w:pPr>
        <w:spacing w:after="60"/>
      </w:pPr>
      <w:r>
        <w:rPr>
          <w:rFonts w:ascii="Arial" w:cs="Arial" w:eastAsia="Arial" w:hAnsi="Arial"/>
          <w:b/>
          <w:bCs/>
          <w:sz w:val="22"/>
          <w:szCs w:val="22"/>
        </w:rPr>
        <w:t xml:space="preserve">PARTNER</w:t>
      </w:r>
    </w:p>
    <w:p>
      <w:pPr>
        <w:spacing w:after="30"/>
      </w:pPr>
      <w:r>
        <w:rPr>
          <w:rFonts w:ascii="Arial" w:cs="Arial" w:eastAsia="Arial" w:hAnsi="Arial"/>
          <w:sz w:val="22"/>
          <w:szCs w:val="22"/>
        </w:rPr>
        <w:t xml:space="preserve">By: </w:t>
      </w:r>
      <w:r>
        <w:rPr>
          <w:b/>
          <w:bCs/>
          <w:color w:val="1F6F5C"/>
        </w:rPr>
        <w:t xml:space="preserve">[PARTNER SIGNATORY NAME]</w:t>
      </w:r>
    </w:p>
    <w:p>
      <w:pPr>
        <w:spacing w:after="30"/>
      </w:pPr>
      <w:r>
        <w:rPr>
          <w:rFonts w:ascii="Arial" w:cs="Arial" w:eastAsia="Arial" w:hAnsi="Arial"/>
          <w:sz w:val="22"/>
          <w:szCs w:val="22"/>
        </w:rPr>
        <w:t xml:space="preserve">Title: </w:t>
      </w:r>
      <w:r>
        <w:rPr>
          <w:b/>
          <w:bCs/>
          <w:color w:val="1F6F5C"/>
        </w:rPr>
        <w:t xml:space="preserve">[TITLE]</w:t>
      </w:r>
    </w:p>
    <w:p>
      <w:pPr>
        <w:spacing w:after="240"/>
      </w:pPr>
      <w:r>
        <w:rPr>
          <w:rFonts w:ascii="Arial" w:cs="Arial" w:eastAsia="Arial" w:hAnsi="Arial"/>
          <w:sz w:val="22"/>
          <w:szCs w:val="22"/>
        </w:rPr>
        <w:t xml:space="preserve">Date: </w:t>
      </w:r>
      <w:r>
        <w:rPr>
          <w:b/>
          <w:bCs/>
          <w:color w:val="1F6F5C"/>
        </w:rPr>
        <w:t xml:space="preserve">[DATE]</w:t>
      </w:r>
    </w:p>
    <w:p>
      <w:pPr>
        <w:pBdr>
          <w:top w:val="single" w:color="CCCCCC" w:sz="4" w:space="8"/>
        </w:pBdr>
        <w:spacing w:before="200"/>
      </w:pPr>
      <w:r>
        <w:rPr>
          <w:rFonts w:ascii="Arial" w:cs="Arial" w:eastAsia="Arial" w:hAnsi="Arial"/>
          <w:i/>
          <w:iCs/>
          <w:color w:val="888888"/>
          <w:sz w:val="18"/>
          <w:szCs w:val="18"/>
        </w:rPr>
        <w:t xml:space="preserve">Template prepared for Divini Group. This is a starting template, not legal advice; have a licensed attorney review and adapt it (entity name, payout timing, governing venue, tax terms) before relying on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F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2026-06-17T12:45:46.114Z</dcterms:created>
  <dcterms:modified xsi:type="dcterms:W3CDTF">2026-06-17T12:45:46.114Z</dcterms:modified>
</cp:coreProperties>
</file>

<file path=docProps/custom.xml><?xml version="1.0" encoding="utf-8"?>
<Properties xmlns="http://schemas.openxmlformats.org/officeDocument/2006/custom-properties" xmlns:vt="http://schemas.openxmlformats.org/officeDocument/2006/docPropsVTypes"/>
</file>