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D8A0" w14:textId="77777777" w:rsidR="00697F97" w:rsidRDefault="00000000">
      <w:r>
        <w:rPr>
          <w:sz w:val="24"/>
          <w:szCs w:val="24"/>
        </w:rPr>
        <w:t>13 May 2026</w:t>
      </w:r>
    </w:p>
    <w:p w14:paraId="373F33C3" w14:textId="77777777" w:rsidR="00697F97" w:rsidRDefault="00697F97"/>
    <w:p w14:paraId="0EB19E2E" w14:textId="77777777" w:rsidR="00697F97" w:rsidRDefault="00697F97"/>
    <w:p w14:paraId="4F0DF21F" w14:textId="77777777" w:rsidR="00697F97" w:rsidRDefault="00000000">
      <w:r>
        <w:rPr>
          <w:sz w:val="24"/>
          <w:szCs w:val="24"/>
        </w:rPr>
        <w:t>Dear Editors,</w:t>
      </w:r>
    </w:p>
    <w:p w14:paraId="650E7DEE" w14:textId="77777777" w:rsidR="00697F97" w:rsidRDefault="00697F97"/>
    <w:p w14:paraId="7801F829" w14:textId="77777777" w:rsidR="00697F97" w:rsidRDefault="00000000">
      <w:pPr>
        <w:spacing w:after="160"/>
        <w:ind w:firstLine="720"/>
        <w:jc w:val="both"/>
      </w:pPr>
      <w:r>
        <w:rPr>
          <w:sz w:val="24"/>
          <w:szCs w:val="24"/>
        </w:rPr>
        <w:t>I submit for your consideration the manuscript “The Star of Bethlehem belongs to the guiding-star legendary narrative tradition: evidence from orbital mechanics and Greek corpus linguistics” as an Article in Nature.</w:t>
      </w:r>
    </w:p>
    <w:p w14:paraId="7E9A41E4" w14:textId="77777777" w:rsidR="00697F97" w:rsidRDefault="00000000">
      <w:pPr>
        <w:spacing w:after="160"/>
        <w:ind w:firstLine="720"/>
        <w:jc w:val="both"/>
      </w:pPr>
      <w:r>
        <w:rPr>
          <w:sz w:val="24"/>
          <w:szCs w:val="24"/>
        </w:rPr>
        <w:t>The Star of Bethlehem has been published in these pages before. Hughes (Nature, 1976) proposed the triple Jupiter–Saturn conjunction of 7 BCE as the most probable astronomical candidate, a paper that legitimized the subject within the scientific literature and prompted a generation of follow-on work. That conversation remains active: Matney (Journal of the British Astronomical Association, 2025) has recently presented a detailed orbital reconstruction for the 5 BCE comet recorded in Chinese and Korean annals, arguing it satisfies the guidance and stopping conditions of Matthew 2:9. What has been lacking across all prior proposals is a general feasibility framework capable of ruling out all orbital candidates simultaneously. This manuscript provides that framework: rather than searching for the best historical candidate, I derive the kinematic and linguistic conditions that Matthew 2:9 itself imposes and demonstrate that no known orbital class satisfies them. The result demonstrates the incompatibility of any Keplerian orbit with the text's requirements—a structural constraint, not a failure of candidate search.</w:t>
      </w:r>
    </w:p>
    <w:p w14:paraId="7EDEB18C" w14:textId="77777777" w:rsidR="00697F97" w:rsidRDefault="00000000">
      <w:pPr>
        <w:spacing w:after="160"/>
        <w:ind w:firstLine="720"/>
        <w:jc w:val="both"/>
      </w:pPr>
      <w:r>
        <w:rPr>
          <w:sz w:val="24"/>
          <w:szCs w:val="24"/>
        </w:rPr>
        <w:t>The orbital argument rests on two complementary analyses. Analytically, I demonstrate that the two observational phases required by the text—sustained southward guidance along the Jerusalem–</w:t>
      </w:r>
      <w:proofErr w:type="gramStart"/>
      <w:r>
        <w:rPr>
          <w:sz w:val="24"/>
          <w:szCs w:val="24"/>
        </w:rPr>
        <w:t>Bethlehem road</w:t>
      </w:r>
      <w:proofErr w:type="gramEnd"/>
      <w:r>
        <w:rPr>
          <w:sz w:val="24"/>
          <w:szCs w:val="24"/>
        </w:rPr>
        <w:t xml:space="preserve"> corridor and subsequent stationary localization above a specific destination—are geometrically incompatible for Keplerian bodies. Objects with sufficient southward azimuthal motion cannot achieve the quasi-stationarity the text requires—a consequence of Kepler’s second law, which enforces a slope-1 relationship between guidance and stopping motion—and conversely. This rules out Matney’s comet candidate along with all other orbital types. Numerically, exhaustive heliocentric and geocentric orbital surveys spanning more than 529 million configurations across elliptic, parabolic, and hyperbolic parameter spaces, together with Monte Carlo close-flyby refinements and non-gravitational force analysis, confirm this: zero configurations satisfy all constraints.</w:t>
      </w:r>
    </w:p>
    <w:p w14:paraId="404E5373" w14:textId="063E6A8A" w:rsidR="00697F97" w:rsidRDefault="00000000">
      <w:pPr>
        <w:spacing w:after="160"/>
        <w:ind w:firstLine="720"/>
        <w:jc w:val="both"/>
      </w:pPr>
      <w:r>
        <w:rPr>
          <w:sz w:val="24"/>
          <w:szCs w:val="24"/>
        </w:rPr>
        <w:t>The linguistic analysis is equally quantitative. Comparing the Greek vocabulary of Matthew 2:9 against a 25-text corpus of ancient astronomical and astrological writing (approximately 622,000 words) using Bayesian corpus linguistics, I find that Matthew’s motion-language profile is unattested in astronomical contexts and instead aligns with the ancient guiding-star narrative tradition. A separate within-Matthew analysis of the same vocabulary across the full Gospel confirms the finding. The two independent linguistic analyses yield a joint Bayes factor of approximately 5.3 × 10⁸ in favor of the legendary narrative register over an astronomical reading. This accords with the dominant pre-modern verdict of ancient and medieval interpreters of Matthew, including those with direct expertise in astronomy and astrology—most notably Augustine of Hippo, a former student of astronomical calculation, who argued explicitly that the Star’s behavior was incompatible with planetary motion.</w:t>
      </w:r>
      <w:r w:rsidR="00F87E13">
        <w:rPr>
          <w:sz w:val="24"/>
          <w:szCs w:val="24"/>
        </w:rPr>
      </w:r>
      <w:r w:rsidR="00F87E13" w:rsidRPr="00F87E13">
        <w:rPr>
          <w:sz w:val="24"/>
          <w:szCs w:val="24"/>
          <w:vertAlign w:val="superscript"/>
        </w:rPr>
      </w:r>
      <w:r w:rsidR="00F87E13">
        <w:rPr>
          <w:sz w:val="24"/>
          <w:szCs w:val="24"/>
        </w:rPr>
      </w:r>
      <w:r>
        <w:rPr>
          <w:sz w:val="24"/>
          <w:szCs w:val="24"/>
        </w:rPr>
      </w:r>
    </w:p>
    <w:p w14:paraId="17E44BE8" w14:textId="77777777" w:rsidR="00697F97" w:rsidRDefault="00000000">
      <w:pPr>
        <w:spacing w:after="160"/>
        <w:ind w:firstLine="720"/>
        <w:jc w:val="both"/>
      </w:pPr>
      <w:r>
        <w:rPr>
          <w:sz w:val="24"/>
          <w:szCs w:val="24"/>
        </w:rPr>
        <w:t xml:space="preserve">Three features of this work are likely to be of broad interest to Nature readers. First, it provides a general impossibility framework applicable to all orbit types simultaneously—a </w:t>
      </w:r>
      <w:r>
        <w:rPr>
          <w:sz w:val="24"/>
          <w:szCs w:val="24"/>
        </w:rPr>
        <w:lastRenderedPageBreak/>
        <w:t>methodological departure from all prior scientific Star-of-Bethlehem research, including the recent Matney proposal. Second, it demonstrates the quantitative integration of orbital mechanics with computational philology as a tool for testing historical astronomical claims, a combination with potential applicability beyond this question. Third, the Star of Bethlehem is among the most widely discussed astronomical subjects in cultural history, giving these results broad resonance across astronomy, classics, digital humanities, religious studies, and the history of science.</w:t>
      </w:r>
    </w:p>
    <w:p w14:paraId="2C40B0B0" w14:textId="77777777" w:rsidR="00697F97" w:rsidRDefault="00000000">
      <w:pPr>
        <w:spacing w:after="160"/>
        <w:ind w:firstLine="720"/>
        <w:jc w:val="both"/>
      </w:pPr>
      <w:r>
        <w:rPr>
          <w:sz w:val="24"/>
          <w:szCs w:val="24"/>
        </w:rPr>
        <w:t>This manuscript is original, has not been published previously, and is not under consideration elsewhere. All orbital simulations, statistical procedures, and corpus analyses are fully reproducible; code and data will be made publicly available upon acceptance.</w:t>
      </w:r>
    </w:p>
    <w:p w14:paraId="48C72CA0" w14:textId="77777777" w:rsidR="00697F97" w:rsidRDefault="00697F97"/>
    <w:p w14:paraId="1C07C40E" w14:textId="77777777" w:rsidR="00697F97" w:rsidRDefault="00000000">
      <w:r>
        <w:rPr>
          <w:sz w:val="24"/>
          <w:szCs w:val="24"/>
        </w:rPr>
        <w:t>Thank you for your consideration.</w:t>
      </w:r>
    </w:p>
    <w:p w14:paraId="70F8FCF6" w14:textId="77777777" w:rsidR="00697F97" w:rsidRDefault="00697F97"/>
    <w:p w14:paraId="1B0D6C32" w14:textId="77777777" w:rsidR="00697F97" w:rsidRDefault="00697F97"/>
    <w:p w14:paraId="6CFC732F" w14:textId="77777777" w:rsidR="00697F97" w:rsidRDefault="00000000">
      <w:r>
        <w:rPr>
          <w:sz w:val="24"/>
          <w:szCs w:val="24"/>
        </w:rPr>
        <w:t>Sincerely,</w:t>
      </w:r>
    </w:p>
    <w:p w14:paraId="2BDBB4AE" w14:textId="77777777" w:rsidR="00697F97" w:rsidRDefault="00697F97"/>
    <w:p w14:paraId="26AF528D" w14:textId="77777777" w:rsidR="00697F97" w:rsidRDefault="00697F97"/>
    <w:p w14:paraId="2EFEAECF" w14:textId="77777777" w:rsidR="00697F97" w:rsidRDefault="00697F97"/>
    <w:p w14:paraId="7B850EE4" w14:textId="77777777" w:rsidR="00697F97" w:rsidRDefault="00000000">
      <w:r>
        <w:rPr>
          <w:b/>
          <w:bCs/>
          <w:sz w:val="24"/>
          <w:szCs w:val="24"/>
        </w:rPr>
        <w:t>Aaron Adair</w:t>
      </w:r>
    </w:p>
    <w:p w14:paraId="3A993CE9" w14:textId="77777777" w:rsidR="00697F97" w:rsidRDefault="00000000">
      <w:r>
        <w:rPr>
          <w:sz w:val="24"/>
          <w:szCs w:val="24"/>
        </w:rPr>
        <w:t>Department of Physics</w:t>
      </w:r>
    </w:p>
    <w:p w14:paraId="23C288B1" w14:textId="77777777" w:rsidR="00697F97" w:rsidRDefault="00000000">
      <w:r>
        <w:rPr>
          <w:sz w:val="24"/>
          <w:szCs w:val="24"/>
        </w:rPr>
        <w:t>Massachusetts Institute of Technology</w:t>
      </w:r>
    </w:p>
    <w:p w14:paraId="7902C42A" w14:textId="77777777" w:rsidR="00697F97" w:rsidRDefault="00000000">
      <w:r>
        <w:rPr>
          <w:sz w:val="24"/>
          <w:szCs w:val="24"/>
        </w:rPr>
        <w:t>Cambridge, Massachusetts, USA</w:t>
      </w:r>
    </w:p>
    <w:p w14:paraId="7A2C859A" w14:textId="77777777" w:rsidR="00697F97" w:rsidRDefault="00000000">
      <w:r>
        <w:rPr>
          <w:sz w:val="24"/>
          <w:szCs w:val="24"/>
        </w:rPr>
        <w:t>adairaar@gmail.com</w:t>
      </w:r>
    </w:p>
    <w:sectPr w:rsidR="00697F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061DD"/>
    <w:multiLevelType w:val="hybridMultilevel"/>
    <w:tmpl w:val="5010F620"/>
    <w:lvl w:ilvl="0" w:tplc="CA746260">
      <w:start w:val="1"/>
      <w:numFmt w:val="bullet"/>
      <w:lvlText w:val="●"/>
      <w:lvlJc w:val="left"/>
      <w:pPr>
        <w:ind w:left="720" w:hanging="360"/>
      </w:pPr>
    </w:lvl>
    <w:lvl w:ilvl="1" w:tplc="7BBEB8FA">
      <w:start w:val="1"/>
      <w:numFmt w:val="bullet"/>
      <w:lvlText w:val="○"/>
      <w:lvlJc w:val="left"/>
      <w:pPr>
        <w:ind w:left="1440" w:hanging="360"/>
      </w:pPr>
    </w:lvl>
    <w:lvl w:ilvl="2" w:tplc="E6A03650">
      <w:start w:val="1"/>
      <w:numFmt w:val="bullet"/>
      <w:lvlText w:val="■"/>
      <w:lvlJc w:val="left"/>
      <w:pPr>
        <w:ind w:left="2160" w:hanging="360"/>
      </w:pPr>
    </w:lvl>
    <w:lvl w:ilvl="3" w:tplc="1D0A48E2">
      <w:start w:val="1"/>
      <w:numFmt w:val="bullet"/>
      <w:lvlText w:val="●"/>
      <w:lvlJc w:val="left"/>
      <w:pPr>
        <w:ind w:left="2880" w:hanging="360"/>
      </w:pPr>
    </w:lvl>
    <w:lvl w:ilvl="4" w:tplc="63F0862E">
      <w:start w:val="1"/>
      <w:numFmt w:val="bullet"/>
      <w:lvlText w:val="○"/>
      <w:lvlJc w:val="left"/>
      <w:pPr>
        <w:ind w:left="3600" w:hanging="360"/>
      </w:pPr>
    </w:lvl>
    <w:lvl w:ilvl="5" w:tplc="023C38AE">
      <w:start w:val="1"/>
      <w:numFmt w:val="bullet"/>
      <w:lvlText w:val="■"/>
      <w:lvlJc w:val="left"/>
      <w:pPr>
        <w:ind w:left="4320" w:hanging="360"/>
      </w:pPr>
    </w:lvl>
    <w:lvl w:ilvl="6" w:tplc="BD501FBC">
      <w:start w:val="1"/>
      <w:numFmt w:val="bullet"/>
      <w:lvlText w:val="●"/>
      <w:lvlJc w:val="left"/>
      <w:pPr>
        <w:ind w:left="5040" w:hanging="360"/>
      </w:pPr>
    </w:lvl>
    <w:lvl w:ilvl="7" w:tplc="C5A83C58">
      <w:start w:val="1"/>
      <w:numFmt w:val="bullet"/>
      <w:lvlText w:val="●"/>
      <w:lvlJc w:val="left"/>
      <w:pPr>
        <w:ind w:left="5760" w:hanging="360"/>
      </w:pPr>
    </w:lvl>
    <w:lvl w:ilvl="8" w:tplc="7390D5AC">
      <w:start w:val="1"/>
      <w:numFmt w:val="bullet"/>
      <w:lvlText w:val="●"/>
      <w:lvlJc w:val="left"/>
      <w:pPr>
        <w:ind w:left="6480" w:hanging="360"/>
      </w:pPr>
    </w:lvl>
  </w:abstractNum>
  <w:num w:numId="1" w16cid:durableId="373236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F97"/>
    <w:rsid w:val="00697F97"/>
    <w:rsid w:val="0083634C"/>
    <w:rsid w:val="00F87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C88E63"/>
  <w15:docId w15:val="{AA49D3C9-5D82-8C48-908C-5A7C54C8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Adair</cp:lastModifiedBy>
  <cp:revision>2</cp:revision>
  <dcterms:created xsi:type="dcterms:W3CDTF">2026-05-14T03:56:00Z</dcterms:created>
  <dcterms:modified xsi:type="dcterms:W3CDTF">2026-05-15T03:38:00Z</dcterms:modified>
</cp:coreProperties>
</file>