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284" w:rsidRPr="005E28F2" w:rsidRDefault="009D5412" w:rsidP="00A35284">
      <w:pPr>
        <w:pStyle w:val="Ttulo1"/>
        <w:tabs>
          <w:tab w:val="left" w:pos="2340"/>
          <w:tab w:val="left" w:pos="5310"/>
          <w:tab w:val="left" w:pos="6030"/>
        </w:tabs>
        <w:rPr>
          <w:lang w:val="es-MX"/>
        </w:rPr>
      </w:pPr>
      <w:r>
        <w:rPr>
          <w:rFonts w:ascii="Times New Roman" w:hAnsi="Times New Roman"/>
          <w:szCs w:val="28"/>
          <w:lang w:val="es-MX"/>
        </w:rPr>
        <w:t>P</w:t>
      </w:r>
      <w:r w:rsidR="00A35284" w:rsidRPr="00C55BC4">
        <w:rPr>
          <w:rFonts w:ascii="Times New Roman" w:hAnsi="Times New Roman"/>
          <w:szCs w:val="28"/>
          <w:lang w:val="es-MX"/>
        </w:rPr>
        <w:t xml:space="preserve">rotocolo de autenticación </w:t>
      </w:r>
      <w:r w:rsidR="00337A04">
        <w:rPr>
          <w:rFonts w:ascii="Times New Roman" w:hAnsi="Times New Roman"/>
          <w:szCs w:val="28"/>
          <w:lang w:val="es-MX"/>
        </w:rPr>
        <w:t>de transacciones con identificación de usuarios</w:t>
      </w:r>
    </w:p>
    <w:p w:rsidR="00A35284" w:rsidRPr="00CB2306" w:rsidRDefault="00A35284" w:rsidP="00A35284">
      <w:pPr>
        <w:pStyle w:val="author"/>
        <w:spacing w:after="0"/>
        <w:rPr>
          <w:position w:val="6"/>
          <w:sz w:val="12"/>
          <w:szCs w:val="12"/>
          <w:lang w:val="de-DE"/>
        </w:rPr>
      </w:pPr>
      <w:r>
        <w:rPr>
          <w:lang w:val="de-DE"/>
        </w:rPr>
        <w:t>Daniel Adalaid Carranza Alvarez</w:t>
      </w:r>
    </w:p>
    <w:p w:rsidR="00A35284" w:rsidRPr="00CB2306" w:rsidRDefault="00A35284" w:rsidP="00A35284">
      <w:pPr>
        <w:pStyle w:val="authorinfo"/>
        <w:rPr>
          <w:lang w:val="de-DE"/>
        </w:rPr>
      </w:pPr>
    </w:p>
    <w:p w:rsidR="00A35284" w:rsidRPr="009A3755" w:rsidRDefault="00A35284" w:rsidP="00A35284">
      <w:pPr>
        <w:pStyle w:val="authorinfo"/>
        <w:rPr>
          <w:lang w:val="de-DE"/>
        </w:rPr>
      </w:pPr>
      <w:r>
        <w:rPr>
          <w:lang w:val="de-DE"/>
        </w:rPr>
        <w:t>Tecno</w:t>
      </w:r>
      <w:r>
        <w:rPr>
          <w:lang w:val="es-MX"/>
        </w:rPr>
        <w:t>lógico de Monterrey Campus Querétaro, Epigmenio González #500</w:t>
      </w:r>
      <w:r>
        <w:rPr>
          <w:lang w:val="de-DE"/>
        </w:rPr>
        <w:t xml:space="preserve">, Querétaro Qro, Mexico </w:t>
      </w:r>
    </w:p>
    <w:p w:rsidR="00A35284" w:rsidRPr="00034B0F" w:rsidRDefault="00A35284" w:rsidP="00A35284">
      <w:pPr>
        <w:pStyle w:val="abstract"/>
        <w:rPr>
          <w:lang w:val="es-MX"/>
        </w:rPr>
      </w:pPr>
      <w:r w:rsidRPr="005E28F2">
        <w:rPr>
          <w:b/>
          <w:lang w:val="es-MX"/>
        </w:rPr>
        <w:t>Abstract.</w:t>
      </w:r>
      <w:r w:rsidRPr="005E28F2">
        <w:rPr>
          <w:lang w:val="es-MX"/>
        </w:rPr>
        <w:t xml:space="preserve"> </w:t>
      </w:r>
      <w:r>
        <w:rPr>
          <w:lang w:val="es-MX"/>
        </w:rPr>
        <w:t xml:space="preserve">Autenticarse en una </w:t>
      </w:r>
      <w:r w:rsidR="00B324A8">
        <w:rPr>
          <w:lang w:val="es-MX"/>
        </w:rPr>
        <w:t>aplicación tanto móvil como</w:t>
      </w:r>
      <w:r>
        <w:rPr>
          <w:lang w:val="es-MX"/>
        </w:rPr>
        <w:t xml:space="preserve"> de escritorio, web o de otra índole es muy común en las tecnologías de hoy en día</w:t>
      </w:r>
      <w:r w:rsidR="00B735C0">
        <w:rPr>
          <w:lang w:val="es-MX"/>
        </w:rPr>
        <w:t>, ya que esto garantiza que la persona correcta está ingresando a dichas aplicaciones</w:t>
      </w:r>
      <w:r w:rsidR="00FF08B2">
        <w:rPr>
          <w:lang w:val="es-MX"/>
        </w:rPr>
        <w:t>.</w:t>
      </w:r>
      <w:r>
        <w:rPr>
          <w:lang w:val="es-MX"/>
        </w:rPr>
        <w:t xml:space="preserve"> </w:t>
      </w:r>
      <w:r w:rsidR="00FF08B2">
        <w:rPr>
          <w:lang w:val="es-MX"/>
        </w:rPr>
        <w:t>P</w:t>
      </w:r>
      <w:r w:rsidR="00B735C0">
        <w:rPr>
          <w:lang w:val="es-MX"/>
        </w:rPr>
        <w:t>or esta razón</w:t>
      </w:r>
      <w:r w:rsidR="00942DDC">
        <w:rPr>
          <w:lang w:val="es-MX"/>
        </w:rPr>
        <w:t>, es muy importante</w:t>
      </w:r>
      <w:r w:rsidR="00B735C0">
        <w:rPr>
          <w:lang w:val="es-MX"/>
        </w:rPr>
        <w:t xml:space="preserve"> tanto</w:t>
      </w:r>
      <w:r w:rsidR="00942DDC">
        <w:rPr>
          <w:lang w:val="es-MX"/>
        </w:rPr>
        <w:t xml:space="preserve"> </w:t>
      </w:r>
      <w:r w:rsidR="00C97433">
        <w:rPr>
          <w:lang w:val="es-MX"/>
        </w:rPr>
        <w:t xml:space="preserve">para el usuario </w:t>
      </w:r>
      <w:r w:rsidR="006C63B7">
        <w:rPr>
          <w:lang w:val="es-MX"/>
        </w:rPr>
        <w:t>como</w:t>
      </w:r>
      <w:r w:rsidR="00942DDC">
        <w:rPr>
          <w:lang w:val="es-MX"/>
        </w:rPr>
        <w:t xml:space="preserve"> </w:t>
      </w:r>
      <w:r w:rsidR="00C97433">
        <w:rPr>
          <w:lang w:val="es-MX"/>
        </w:rPr>
        <w:t xml:space="preserve">para la aplicación </w:t>
      </w:r>
      <w:r w:rsidR="006C63B7">
        <w:rPr>
          <w:lang w:val="es-MX"/>
        </w:rPr>
        <w:t>saber la identidad de cada uno</w:t>
      </w:r>
      <w:r w:rsidR="00C97433">
        <w:rPr>
          <w:lang w:val="es-MX"/>
        </w:rPr>
        <w:t xml:space="preserve">. Por lo tanto, </w:t>
      </w:r>
      <w:r w:rsidR="003D1CA3">
        <w:rPr>
          <w:lang w:val="es-MX"/>
        </w:rPr>
        <w:t xml:space="preserve">en esta propuesta </w:t>
      </w:r>
      <w:r w:rsidR="00C97433">
        <w:rPr>
          <w:lang w:val="es-MX"/>
        </w:rPr>
        <w:t>se busca generar un</w:t>
      </w:r>
      <w:r w:rsidR="00FF08B2">
        <w:rPr>
          <w:lang w:val="es-MX"/>
        </w:rPr>
        <w:t xml:space="preserve"> protocolo de autenticación que, utilizando </w:t>
      </w:r>
      <w:r w:rsidR="00455894">
        <w:rPr>
          <w:lang w:val="es-MX"/>
        </w:rPr>
        <w:t xml:space="preserve">características </w:t>
      </w:r>
      <w:r w:rsidR="006C63B7">
        <w:rPr>
          <w:lang w:val="es-MX"/>
        </w:rPr>
        <w:t xml:space="preserve">tanto </w:t>
      </w:r>
      <w:r w:rsidR="00455894">
        <w:rPr>
          <w:lang w:val="es-MX"/>
        </w:rPr>
        <w:t>de protocolos distribuidos como centralizados</w:t>
      </w:r>
      <w:r w:rsidR="00FF08B2">
        <w:rPr>
          <w:lang w:val="es-MX"/>
        </w:rPr>
        <w:t xml:space="preserve">, </w:t>
      </w:r>
      <w:r w:rsidR="00173DA2">
        <w:rPr>
          <w:lang w:val="es-MX"/>
        </w:rPr>
        <w:t>permita</w:t>
      </w:r>
      <w:r w:rsidR="00884234">
        <w:rPr>
          <w:lang w:val="es-MX"/>
        </w:rPr>
        <w:t xml:space="preserve"> la </w:t>
      </w:r>
      <w:r w:rsidR="00C97433">
        <w:rPr>
          <w:lang w:val="es-MX"/>
        </w:rPr>
        <w:t>autenticación de usuario</w:t>
      </w:r>
      <w:r w:rsidR="00884234">
        <w:rPr>
          <w:lang w:val="es-MX"/>
        </w:rPr>
        <w:t>s</w:t>
      </w:r>
      <w:r w:rsidR="00C97433">
        <w:rPr>
          <w:lang w:val="es-MX"/>
        </w:rPr>
        <w:t xml:space="preserve"> de manera segura</w:t>
      </w:r>
      <w:r w:rsidR="003D1CA3">
        <w:rPr>
          <w:lang w:val="es-MX"/>
        </w:rPr>
        <w:t xml:space="preserve"> y que a la vez permita</w:t>
      </w:r>
      <w:r w:rsidR="00455894">
        <w:rPr>
          <w:lang w:val="es-MX"/>
        </w:rPr>
        <w:t xml:space="preserve"> identifica</w:t>
      </w:r>
      <w:r w:rsidR="00780633">
        <w:rPr>
          <w:lang w:val="es-MX"/>
        </w:rPr>
        <w:t>r al usuario sin solicitar más información de la necesaria</w:t>
      </w:r>
      <w:r w:rsidR="00C97433">
        <w:rPr>
          <w:lang w:val="es-MX"/>
        </w:rPr>
        <w:t>.</w:t>
      </w:r>
    </w:p>
    <w:p w:rsidR="00A35284" w:rsidRPr="005E28F2" w:rsidRDefault="00A35284" w:rsidP="00A35284">
      <w:pPr>
        <w:pStyle w:val="abstract"/>
        <w:spacing w:before="120"/>
        <w:rPr>
          <w:lang w:val="es-MX"/>
        </w:rPr>
      </w:pPr>
      <w:r w:rsidRPr="005E28F2">
        <w:rPr>
          <w:b/>
          <w:lang w:val="es-MX"/>
        </w:rPr>
        <w:t xml:space="preserve">Keywords: </w:t>
      </w:r>
      <w:r>
        <w:rPr>
          <w:b/>
          <w:lang w:val="es-MX"/>
        </w:rPr>
        <w:t>A</w:t>
      </w:r>
      <w:r>
        <w:rPr>
          <w:lang w:val="es-MX"/>
        </w:rPr>
        <w:t>utenticación distribuida, autenticación, protocolos, seguridad</w:t>
      </w:r>
      <w:r w:rsidRPr="005E28F2">
        <w:rPr>
          <w:lang w:val="es-MX"/>
        </w:rPr>
        <w:t>.</w:t>
      </w:r>
    </w:p>
    <w:p w:rsidR="00A35284" w:rsidRPr="004B7020" w:rsidRDefault="00A35284" w:rsidP="00A35284">
      <w:pPr>
        <w:pStyle w:val="heading10"/>
        <w:rPr>
          <w:rFonts w:cs="Times"/>
          <w:lang w:val="es-MX"/>
        </w:rPr>
      </w:pPr>
      <w:r w:rsidRPr="004B7020">
        <w:rPr>
          <w:rFonts w:cs="Times"/>
          <w:lang w:val="es-MX"/>
        </w:rPr>
        <w:t>1   Antecedentes</w:t>
      </w:r>
    </w:p>
    <w:p w:rsidR="00337A04" w:rsidRDefault="00BC6CC6" w:rsidP="001E7BEC">
      <w:pPr>
        <w:ind w:firstLine="720"/>
        <w:rPr>
          <w:rFonts w:cs="Times"/>
          <w:lang w:val="es-MX"/>
        </w:rPr>
      </w:pPr>
      <w:r>
        <w:rPr>
          <w:rFonts w:cs="Times"/>
          <w:lang w:val="es-MX"/>
        </w:rPr>
        <w:t>L</w:t>
      </w:r>
      <w:r w:rsidR="00A35284" w:rsidRPr="00C55BC4">
        <w:rPr>
          <w:rFonts w:cs="Times"/>
          <w:lang w:val="es-MX"/>
        </w:rPr>
        <w:t xml:space="preserve">a autenticación e identificación son </w:t>
      </w:r>
      <w:r w:rsidR="005E59D1">
        <w:rPr>
          <w:rFonts w:cs="Times"/>
          <w:lang w:val="es-MX"/>
        </w:rPr>
        <w:t>mecanismos</w:t>
      </w:r>
      <w:r>
        <w:rPr>
          <w:rFonts w:cs="Times"/>
          <w:lang w:val="es-MX"/>
        </w:rPr>
        <w:t xml:space="preserve"> en los sistemas informáticos </w:t>
      </w:r>
      <w:r w:rsidR="005E59D1">
        <w:rPr>
          <w:rFonts w:cs="Times"/>
          <w:lang w:val="es-MX"/>
        </w:rPr>
        <w:t xml:space="preserve">usados </w:t>
      </w:r>
      <w:r>
        <w:rPr>
          <w:rFonts w:cs="Times"/>
          <w:lang w:val="es-MX"/>
        </w:rPr>
        <w:t>para acceder a los recursos que estos tienen</w:t>
      </w:r>
      <w:r w:rsidR="00877630">
        <w:rPr>
          <w:rFonts w:cs="Times"/>
          <w:lang w:val="es-MX"/>
        </w:rPr>
        <w:t>. R</w:t>
      </w:r>
      <w:r w:rsidR="00A35284" w:rsidRPr="00C55BC4">
        <w:rPr>
          <w:rFonts w:cs="Times"/>
          <w:lang w:val="es-MX"/>
        </w:rPr>
        <w:t>edes sociales, cor</w:t>
      </w:r>
      <w:r w:rsidR="00701482">
        <w:rPr>
          <w:rFonts w:cs="Times"/>
          <w:lang w:val="es-MX"/>
        </w:rPr>
        <w:t>reos electrónicos o inclusive cuentas bancarias</w:t>
      </w:r>
      <w:r w:rsidR="00A35284" w:rsidRPr="00C55BC4">
        <w:rPr>
          <w:rFonts w:cs="Times"/>
          <w:lang w:val="es-MX"/>
        </w:rPr>
        <w:t xml:space="preserve"> necesita</w:t>
      </w:r>
      <w:r w:rsidR="00701482">
        <w:rPr>
          <w:rFonts w:cs="Times"/>
          <w:lang w:val="es-MX"/>
        </w:rPr>
        <w:t>n</w:t>
      </w:r>
      <w:r w:rsidR="00867301">
        <w:rPr>
          <w:rFonts w:cs="Times"/>
          <w:lang w:val="es-MX"/>
        </w:rPr>
        <w:t xml:space="preserve"> una autenticación por </w:t>
      </w:r>
      <w:r w:rsidR="00A35284" w:rsidRPr="00C55BC4">
        <w:rPr>
          <w:rFonts w:cs="Times"/>
          <w:lang w:val="es-MX"/>
        </w:rPr>
        <w:t xml:space="preserve">parte </w:t>
      </w:r>
      <w:r w:rsidR="00867301">
        <w:rPr>
          <w:rFonts w:cs="Times"/>
          <w:lang w:val="es-MX"/>
        </w:rPr>
        <w:t xml:space="preserve">del usuario </w:t>
      </w:r>
      <w:r w:rsidR="00A35284" w:rsidRPr="00C55BC4">
        <w:rPr>
          <w:rFonts w:cs="Times"/>
          <w:lang w:val="es-MX"/>
        </w:rPr>
        <w:t>y como tal una pa</w:t>
      </w:r>
      <w:r w:rsidR="00701482">
        <w:rPr>
          <w:rFonts w:cs="Times"/>
          <w:lang w:val="es-MX"/>
        </w:rPr>
        <w:t>rte autenticadora que verifique</w:t>
      </w:r>
      <w:r w:rsidR="00A35284" w:rsidRPr="00C55BC4">
        <w:rPr>
          <w:rFonts w:cs="Times"/>
          <w:lang w:val="es-MX"/>
        </w:rPr>
        <w:t xml:space="preserve"> </w:t>
      </w:r>
      <w:r w:rsidR="00867301">
        <w:rPr>
          <w:rFonts w:cs="Times"/>
          <w:lang w:val="es-MX"/>
        </w:rPr>
        <w:t>dicha</w:t>
      </w:r>
      <w:r w:rsidR="00A35284" w:rsidRPr="00C55BC4">
        <w:rPr>
          <w:rFonts w:cs="Times"/>
          <w:lang w:val="es-MX"/>
        </w:rPr>
        <w:t xml:space="preserve"> identidad.</w:t>
      </w:r>
      <w:r w:rsidR="00877630">
        <w:rPr>
          <w:rFonts w:cs="Times"/>
          <w:lang w:val="es-MX"/>
        </w:rPr>
        <w:t xml:space="preserve"> Es decir, la autenticación es el proceso de comprobar la identidad</w:t>
      </w:r>
      <w:r w:rsidR="003566B8">
        <w:rPr>
          <w:rFonts w:cs="Times"/>
          <w:lang w:val="es-MX"/>
        </w:rPr>
        <w:t xml:space="preserve"> </w:t>
      </w:r>
      <w:r w:rsidR="0024644D">
        <w:rPr>
          <w:rFonts w:cs="Times"/>
          <w:lang w:val="es-MX"/>
        </w:rPr>
        <w:t>del usuario o equipo que desea ingresar al sistema [1], hablando</w:t>
      </w:r>
      <w:r w:rsidR="00525066">
        <w:rPr>
          <w:rFonts w:cs="Times"/>
          <w:lang w:val="es-MX"/>
        </w:rPr>
        <w:t xml:space="preserve"> de identidad como algo </w:t>
      </w:r>
      <w:r w:rsidR="001E64AB">
        <w:rPr>
          <w:rFonts w:cs="Times"/>
          <w:lang w:val="es-MX"/>
        </w:rPr>
        <w:t>que permite</w:t>
      </w:r>
      <w:r w:rsidR="00877630">
        <w:rPr>
          <w:rFonts w:cs="Times"/>
          <w:lang w:val="es-MX"/>
        </w:rPr>
        <w:t xml:space="preserve"> diferenciarse de otros</w:t>
      </w:r>
      <w:r w:rsidR="001E64AB">
        <w:rPr>
          <w:rFonts w:cs="Times"/>
          <w:lang w:val="es-MX"/>
        </w:rPr>
        <w:t xml:space="preserve"> [</w:t>
      </w:r>
      <w:r w:rsidR="000201E4">
        <w:rPr>
          <w:rFonts w:cs="Times"/>
          <w:lang w:val="es-MX"/>
        </w:rPr>
        <w:t>4</w:t>
      </w:r>
      <w:r w:rsidR="001E64AB">
        <w:rPr>
          <w:rFonts w:cs="Times"/>
          <w:lang w:val="es-MX"/>
        </w:rPr>
        <w:t>]</w:t>
      </w:r>
      <w:r w:rsidR="00877630">
        <w:rPr>
          <w:rFonts w:cs="Times"/>
          <w:lang w:val="es-MX"/>
        </w:rPr>
        <w:t xml:space="preserve">. Mientras que la identificación es </w:t>
      </w:r>
      <w:r w:rsidR="00867301">
        <w:rPr>
          <w:rFonts w:cs="Times"/>
          <w:lang w:val="es-MX"/>
        </w:rPr>
        <w:t>un proceso</w:t>
      </w:r>
      <w:r w:rsidR="00877630">
        <w:rPr>
          <w:rFonts w:cs="Times"/>
          <w:lang w:val="es-MX"/>
        </w:rPr>
        <w:t xml:space="preserve"> </w:t>
      </w:r>
      <w:r w:rsidR="00867301">
        <w:rPr>
          <w:rFonts w:cs="Times"/>
          <w:lang w:val="es-MX"/>
        </w:rPr>
        <w:t>que sirve para corroborar que una</w:t>
      </w:r>
      <w:r w:rsidR="00877630">
        <w:rPr>
          <w:rFonts w:cs="Times"/>
          <w:lang w:val="es-MX"/>
        </w:rPr>
        <w:t xml:space="preserve"> entidad es quien dice ser</w:t>
      </w:r>
      <w:r w:rsidR="001E64AB">
        <w:rPr>
          <w:rFonts w:cs="Times"/>
          <w:lang w:val="es-MX"/>
        </w:rPr>
        <w:t xml:space="preserve"> [</w:t>
      </w:r>
      <w:r w:rsidR="00701482">
        <w:rPr>
          <w:rFonts w:cs="Times"/>
          <w:lang w:val="es-MX"/>
        </w:rPr>
        <w:t>1</w:t>
      </w:r>
      <w:r w:rsidR="001E64AB">
        <w:rPr>
          <w:rFonts w:cs="Times"/>
          <w:lang w:val="es-MX"/>
        </w:rPr>
        <w:t>]</w:t>
      </w:r>
      <w:r w:rsidR="00877630">
        <w:rPr>
          <w:rFonts w:cs="Times"/>
          <w:lang w:val="es-MX"/>
        </w:rPr>
        <w:t>.</w:t>
      </w:r>
    </w:p>
    <w:p w:rsidR="00780633" w:rsidRDefault="00780633" w:rsidP="001E7BEC">
      <w:pPr>
        <w:ind w:firstLine="720"/>
        <w:rPr>
          <w:rFonts w:cs="Times"/>
          <w:lang w:val="es-MX"/>
        </w:rPr>
      </w:pPr>
    </w:p>
    <w:p w:rsidR="00FF08B2" w:rsidRDefault="00337A04" w:rsidP="001E7BEC">
      <w:pPr>
        <w:ind w:firstLine="720"/>
        <w:rPr>
          <w:rFonts w:cs="Times"/>
          <w:lang w:val="es-MX"/>
        </w:rPr>
      </w:pPr>
      <w:r>
        <w:rPr>
          <w:rFonts w:cs="Times"/>
          <w:lang w:val="es-MX"/>
        </w:rPr>
        <w:t xml:space="preserve">La autenticación de usuarios se ha basado mayormente en arquitecturas centralizadas, es decir, </w:t>
      </w:r>
      <w:r w:rsidR="00954DDC">
        <w:rPr>
          <w:rFonts w:cs="Times"/>
          <w:lang w:val="es-MX"/>
        </w:rPr>
        <w:t>aquellos sistemas que están organizados de tal forma que exista una sola entidad</w:t>
      </w:r>
      <w:r w:rsidR="00867301">
        <w:rPr>
          <w:rFonts w:cs="Times"/>
          <w:lang w:val="es-MX"/>
        </w:rPr>
        <w:t xml:space="preserve"> de confianza</w:t>
      </w:r>
      <w:r w:rsidR="00954DDC">
        <w:rPr>
          <w:rFonts w:cs="Times"/>
          <w:lang w:val="es-MX"/>
        </w:rPr>
        <w:t xml:space="preserve"> que se encarga de la mayoría de las tareas [</w:t>
      </w:r>
      <w:r w:rsidR="001E7BEC">
        <w:rPr>
          <w:rFonts w:cs="Times"/>
          <w:lang w:val="es-MX"/>
        </w:rPr>
        <w:t>5</w:t>
      </w:r>
      <w:r w:rsidR="00867301">
        <w:rPr>
          <w:rFonts w:cs="Times"/>
          <w:lang w:val="es-MX"/>
        </w:rPr>
        <w:t>]. C.A.S.</w:t>
      </w:r>
      <w:r w:rsidR="00954DDC">
        <w:rPr>
          <w:rFonts w:cs="Times"/>
          <w:lang w:val="es-MX"/>
        </w:rPr>
        <w:t xml:space="preserve"> servicio de autenticación centralizada por sus siglas en inglés</w:t>
      </w:r>
      <w:r w:rsidR="001E7BEC">
        <w:rPr>
          <w:rFonts w:cs="Times"/>
          <w:lang w:val="es-MX"/>
        </w:rPr>
        <w:t>, es un claro ejemplo</w:t>
      </w:r>
      <w:r w:rsidR="00954DDC">
        <w:rPr>
          <w:rFonts w:cs="Times"/>
          <w:lang w:val="es-MX"/>
        </w:rPr>
        <w:t>. Creado por la Universidad de Yale, este protocolo utiliza un servidor que pide al usuario sus cre</w:t>
      </w:r>
      <w:r w:rsidR="0022596D">
        <w:rPr>
          <w:rFonts w:cs="Times"/>
          <w:lang w:val="es-MX"/>
        </w:rPr>
        <w:t>denciales para acceder y</w:t>
      </w:r>
      <w:r w:rsidR="00867301">
        <w:rPr>
          <w:rFonts w:cs="Times"/>
          <w:lang w:val="es-MX"/>
        </w:rPr>
        <w:t>,</w:t>
      </w:r>
      <w:r w:rsidR="0022596D">
        <w:rPr>
          <w:rFonts w:cs="Times"/>
          <w:lang w:val="es-MX"/>
        </w:rPr>
        <w:t xml:space="preserve"> si estas </w:t>
      </w:r>
      <w:r w:rsidR="00954DDC">
        <w:rPr>
          <w:rFonts w:cs="Times"/>
          <w:lang w:val="es-MX"/>
        </w:rPr>
        <w:t>son correctas</w:t>
      </w:r>
      <w:r w:rsidR="00867301">
        <w:rPr>
          <w:rFonts w:cs="Times"/>
          <w:lang w:val="es-MX"/>
        </w:rPr>
        <w:t>,</w:t>
      </w:r>
      <w:r w:rsidR="00954DDC">
        <w:rPr>
          <w:rFonts w:cs="Times"/>
          <w:lang w:val="es-MX"/>
        </w:rPr>
        <w:t xml:space="preserve"> el usuario puede consumir los servicios [</w:t>
      </w:r>
      <w:r w:rsidR="00F60828">
        <w:rPr>
          <w:rFonts w:cs="Times"/>
          <w:lang w:val="es-MX"/>
        </w:rPr>
        <w:t>11</w:t>
      </w:r>
      <w:r w:rsidR="00954DDC">
        <w:rPr>
          <w:rFonts w:cs="Times"/>
          <w:lang w:val="es-MX"/>
        </w:rPr>
        <w:t>].</w:t>
      </w:r>
    </w:p>
    <w:p w:rsidR="00780633" w:rsidRPr="00C55BC4" w:rsidRDefault="00780633" w:rsidP="001E7BEC">
      <w:pPr>
        <w:ind w:firstLine="720"/>
        <w:rPr>
          <w:rFonts w:cs="Times"/>
          <w:lang w:val="es-MX"/>
        </w:rPr>
      </w:pPr>
    </w:p>
    <w:p w:rsidR="00525066" w:rsidRDefault="001E7BEC" w:rsidP="00356A04">
      <w:pPr>
        <w:ind w:firstLine="720"/>
        <w:rPr>
          <w:rFonts w:cs="Times"/>
          <w:lang w:val="es-MX"/>
        </w:rPr>
      </w:pPr>
      <w:r>
        <w:rPr>
          <w:rFonts w:cs="Times"/>
          <w:lang w:val="es-MX"/>
        </w:rPr>
        <w:t>Además de esto</w:t>
      </w:r>
      <w:r w:rsidR="0022596D">
        <w:rPr>
          <w:rFonts w:cs="Times"/>
          <w:lang w:val="es-MX"/>
        </w:rPr>
        <w:t xml:space="preserve">, </w:t>
      </w:r>
      <w:r>
        <w:rPr>
          <w:rFonts w:cs="Times"/>
          <w:lang w:val="es-MX"/>
        </w:rPr>
        <w:t xml:space="preserve">también encontramos </w:t>
      </w:r>
      <w:r w:rsidR="0022596D">
        <w:rPr>
          <w:rFonts w:cs="Times"/>
          <w:lang w:val="es-MX"/>
        </w:rPr>
        <w:t>l</w:t>
      </w:r>
      <w:r w:rsidR="00A35284" w:rsidRPr="00C55BC4">
        <w:rPr>
          <w:rFonts w:cs="Times"/>
          <w:lang w:val="es-MX"/>
        </w:rPr>
        <w:t xml:space="preserve">os sistemas distribuidos </w:t>
      </w:r>
      <w:r>
        <w:rPr>
          <w:rFonts w:cs="Times"/>
          <w:lang w:val="es-MX"/>
        </w:rPr>
        <w:t xml:space="preserve">que son cada </w:t>
      </w:r>
      <w:r w:rsidR="00A35284" w:rsidRPr="00C55BC4">
        <w:rPr>
          <w:rFonts w:cs="Times"/>
          <w:lang w:val="es-MX"/>
        </w:rPr>
        <w:t xml:space="preserve">vez más </w:t>
      </w:r>
      <w:r w:rsidR="00842D6F">
        <w:rPr>
          <w:rFonts w:cs="Times"/>
          <w:lang w:val="es-MX"/>
        </w:rPr>
        <w:t>usados</w:t>
      </w:r>
      <w:r w:rsidR="00A35284" w:rsidRPr="00C55BC4">
        <w:rPr>
          <w:rFonts w:cs="Times"/>
          <w:lang w:val="es-MX"/>
        </w:rPr>
        <w:t xml:space="preserve">, </w:t>
      </w:r>
      <w:r w:rsidR="001E64AB">
        <w:rPr>
          <w:rFonts w:cs="Times"/>
          <w:lang w:val="es-MX"/>
        </w:rPr>
        <w:t>caracterizados por ser un conjunto de computadoras separadas físicamente, pero conectadas entre sí, percibiendo a este conjunto como un</w:t>
      </w:r>
      <w:r w:rsidR="000201E4">
        <w:rPr>
          <w:rFonts w:cs="Times"/>
          <w:lang w:val="es-MX"/>
        </w:rPr>
        <w:t xml:space="preserve"> solo sistema [2</w:t>
      </w:r>
      <w:r w:rsidR="001E64AB">
        <w:rPr>
          <w:rFonts w:cs="Times"/>
          <w:lang w:val="es-MX"/>
        </w:rPr>
        <w:t xml:space="preserve">]. </w:t>
      </w:r>
      <w:r w:rsidR="00A35284" w:rsidRPr="00C55BC4">
        <w:rPr>
          <w:rFonts w:cs="Times"/>
          <w:lang w:val="es-MX"/>
        </w:rPr>
        <w:t>Blockchain</w:t>
      </w:r>
      <w:r w:rsidR="001E64AB">
        <w:rPr>
          <w:rFonts w:cs="Times"/>
          <w:lang w:val="es-MX"/>
        </w:rPr>
        <w:t xml:space="preserve"> es un ejemplo de esto</w:t>
      </w:r>
      <w:r w:rsidR="00A35284" w:rsidRPr="00C55BC4">
        <w:rPr>
          <w:rFonts w:cs="Times"/>
          <w:lang w:val="es-MX"/>
        </w:rPr>
        <w:t xml:space="preserve">, siendo </w:t>
      </w:r>
      <w:r w:rsidR="0054646B">
        <w:rPr>
          <w:rFonts w:cs="Times"/>
          <w:lang w:val="es-MX"/>
        </w:rPr>
        <w:t xml:space="preserve">este </w:t>
      </w:r>
      <w:r w:rsidR="00A35284" w:rsidRPr="00C55BC4">
        <w:rPr>
          <w:rFonts w:cs="Times"/>
          <w:lang w:val="es-MX"/>
        </w:rPr>
        <w:t>una base de datos distribuida</w:t>
      </w:r>
      <w:r w:rsidR="00C97433">
        <w:rPr>
          <w:rFonts w:cs="Times"/>
          <w:lang w:val="es-MX"/>
        </w:rPr>
        <w:t xml:space="preserve"> que funciona como libro para el registro de operaciones compra-venta o </w:t>
      </w:r>
      <w:r w:rsidR="0054646B">
        <w:rPr>
          <w:rFonts w:cs="Times"/>
          <w:lang w:val="es-MX"/>
        </w:rPr>
        <w:t xml:space="preserve">de </w:t>
      </w:r>
      <w:r w:rsidR="00C97433">
        <w:rPr>
          <w:rFonts w:cs="Times"/>
          <w:lang w:val="es-MX"/>
        </w:rPr>
        <w:t xml:space="preserve">cualquier otra </w:t>
      </w:r>
      <w:r w:rsidR="00C97433">
        <w:rPr>
          <w:rFonts w:cs="Times"/>
          <w:lang w:val="es-MX"/>
        </w:rPr>
        <w:lastRenderedPageBreak/>
        <w:t>transacción</w:t>
      </w:r>
      <w:r w:rsidR="00A35284" w:rsidRPr="00C55BC4">
        <w:rPr>
          <w:rFonts w:cs="Times"/>
          <w:lang w:val="es-MX"/>
        </w:rPr>
        <w:t xml:space="preserve">. Esto </w:t>
      </w:r>
      <w:r w:rsidR="0054646B">
        <w:rPr>
          <w:rFonts w:cs="Times"/>
          <w:lang w:val="es-MX"/>
        </w:rPr>
        <w:t>ha permitido generar</w:t>
      </w:r>
      <w:r w:rsidR="00A35284" w:rsidRPr="00C55BC4">
        <w:rPr>
          <w:rFonts w:cs="Times"/>
          <w:lang w:val="es-MX"/>
        </w:rPr>
        <w:t xml:space="preserve"> un</w:t>
      </w:r>
      <w:r w:rsidR="0054646B">
        <w:rPr>
          <w:rFonts w:cs="Times"/>
          <w:lang w:val="es-MX"/>
        </w:rPr>
        <w:t>a</w:t>
      </w:r>
      <w:r w:rsidR="00A35284" w:rsidRPr="00C55BC4">
        <w:rPr>
          <w:rFonts w:cs="Times"/>
          <w:lang w:val="es-MX"/>
        </w:rPr>
        <w:t xml:space="preserve"> </w:t>
      </w:r>
      <w:r w:rsidR="0054646B">
        <w:rPr>
          <w:rFonts w:cs="Times"/>
          <w:lang w:val="es-MX"/>
        </w:rPr>
        <w:t>arquitectura</w:t>
      </w:r>
      <w:r w:rsidR="00A35284" w:rsidRPr="00C55BC4">
        <w:rPr>
          <w:rFonts w:cs="Times"/>
          <w:lang w:val="es-MX"/>
        </w:rPr>
        <w:t xml:space="preserve"> en donde Blockchain se usa como notario público </w:t>
      </w:r>
      <w:r w:rsidR="001E64AB">
        <w:rPr>
          <w:rFonts w:cs="Times"/>
          <w:lang w:val="es-MX"/>
        </w:rPr>
        <w:t xml:space="preserve">distribuido </w:t>
      </w:r>
      <w:r w:rsidR="00A35284" w:rsidRPr="00C55BC4">
        <w:rPr>
          <w:rFonts w:cs="Times"/>
          <w:lang w:val="es-MX"/>
        </w:rPr>
        <w:t>no modificable de todo el sistema de transacciones</w:t>
      </w:r>
      <w:r w:rsidR="00525066">
        <w:rPr>
          <w:rFonts w:cs="Times"/>
          <w:lang w:val="es-MX"/>
        </w:rPr>
        <w:t>,</w:t>
      </w:r>
      <w:r w:rsidR="00A35284" w:rsidRPr="00C55BC4">
        <w:rPr>
          <w:rFonts w:cs="Times"/>
          <w:lang w:val="es-MX"/>
        </w:rPr>
        <w:t xml:space="preserve"> a fin de evitar el problema de que</w:t>
      </w:r>
      <w:r w:rsidR="0054646B">
        <w:rPr>
          <w:rFonts w:cs="Times"/>
          <w:lang w:val="es-MX"/>
        </w:rPr>
        <w:t>, por ejemplo,</w:t>
      </w:r>
      <w:r w:rsidR="00A35284" w:rsidRPr="00C55BC4">
        <w:rPr>
          <w:rFonts w:cs="Times"/>
          <w:lang w:val="es-MX"/>
        </w:rPr>
        <w:t xml:space="preserve"> una moneda se pueda gastar dos veces</w:t>
      </w:r>
      <w:r w:rsidR="001E64AB">
        <w:rPr>
          <w:rFonts w:cs="Times"/>
          <w:lang w:val="es-MX"/>
        </w:rPr>
        <w:t xml:space="preserve"> [3]</w:t>
      </w:r>
      <w:r w:rsidR="00A35284" w:rsidRPr="00C55BC4">
        <w:rPr>
          <w:rFonts w:cs="Times"/>
          <w:lang w:val="es-MX"/>
        </w:rPr>
        <w:t>.</w:t>
      </w:r>
    </w:p>
    <w:p w:rsidR="00FF08B2" w:rsidRDefault="00FF08B2" w:rsidP="00356A04">
      <w:pPr>
        <w:ind w:firstLine="720"/>
        <w:rPr>
          <w:rFonts w:cs="Times"/>
          <w:lang w:val="es-MX"/>
        </w:rPr>
      </w:pPr>
    </w:p>
    <w:p w:rsidR="00FF08B2" w:rsidRPr="00C55BC4" w:rsidRDefault="00DF1577" w:rsidP="00FF08B2">
      <w:pPr>
        <w:ind w:firstLine="720"/>
        <w:rPr>
          <w:rFonts w:cs="Times"/>
          <w:lang w:val="es-MX"/>
        </w:rPr>
      </w:pPr>
      <w:r>
        <w:rPr>
          <w:rFonts w:cs="Times"/>
          <w:lang w:val="es-MX"/>
        </w:rPr>
        <w:t>Se puede</w:t>
      </w:r>
      <w:r w:rsidR="00525066">
        <w:rPr>
          <w:rFonts w:cs="Times"/>
          <w:lang w:val="es-MX"/>
        </w:rPr>
        <w:t xml:space="preserve"> observar que Blockchain utiliza los mismos principios criptográficos que podrían aplicarse a una autenticación de manera distribuida. </w:t>
      </w:r>
      <w:r w:rsidR="00356A04">
        <w:rPr>
          <w:rFonts w:cs="Times"/>
          <w:lang w:val="es-MX"/>
        </w:rPr>
        <w:t>Al distribuir un archivo de registro entre todos los miembros de la red, la autenticación distribuida erradica el poder modificar maliciosamente el archivo. Ya que, al añadir un nuevo bloque de datos a la cadena, la mayoría de</w:t>
      </w:r>
      <w:r w:rsidR="005021BE">
        <w:rPr>
          <w:rFonts w:cs="Times"/>
          <w:lang w:val="es-MX"/>
        </w:rPr>
        <w:t xml:space="preserve"> los nodos de</w:t>
      </w:r>
      <w:r w:rsidR="00356A04">
        <w:rPr>
          <w:rFonts w:cs="Times"/>
          <w:lang w:val="es-MX"/>
        </w:rPr>
        <w:t xml:space="preserve"> la red debe verificar su validez, lo que garantiza</w:t>
      </w:r>
      <w:r>
        <w:rPr>
          <w:rFonts w:cs="Times"/>
          <w:lang w:val="es-MX"/>
        </w:rPr>
        <w:t>ría</w:t>
      </w:r>
      <w:r w:rsidR="005021BE">
        <w:rPr>
          <w:rFonts w:cs="Times"/>
          <w:lang w:val="es-MX"/>
        </w:rPr>
        <w:t xml:space="preserve"> también</w:t>
      </w:r>
      <w:r w:rsidR="00356A04">
        <w:rPr>
          <w:rFonts w:cs="Times"/>
          <w:lang w:val="es-MX"/>
        </w:rPr>
        <w:t xml:space="preserve"> la i</w:t>
      </w:r>
      <w:r w:rsidR="00FF08B2">
        <w:rPr>
          <w:rFonts w:cs="Times"/>
          <w:lang w:val="es-MX"/>
        </w:rPr>
        <w:t>ntegridad de la información [1].</w:t>
      </w:r>
    </w:p>
    <w:p w:rsidR="00A35284" w:rsidRPr="005E28F2" w:rsidRDefault="00A35284" w:rsidP="00A35284">
      <w:pPr>
        <w:pStyle w:val="heading10"/>
        <w:rPr>
          <w:rFonts w:cs="Times"/>
          <w:lang w:val="es-MX"/>
        </w:rPr>
      </w:pPr>
      <w:r w:rsidRPr="005E28F2">
        <w:rPr>
          <w:rFonts w:cs="Times"/>
          <w:lang w:val="es-MX"/>
        </w:rPr>
        <w:t xml:space="preserve">2   </w:t>
      </w:r>
      <w:r w:rsidRPr="005E28F2">
        <w:rPr>
          <w:rFonts w:cs="Times"/>
          <w:szCs w:val="24"/>
          <w:lang w:val="es-MX"/>
        </w:rPr>
        <w:t>Planteamiento del problema</w:t>
      </w:r>
    </w:p>
    <w:p w:rsidR="001E7BEC" w:rsidRDefault="001E7BEC" w:rsidP="001E7BEC">
      <w:pPr>
        <w:ind w:firstLine="720"/>
        <w:rPr>
          <w:rFonts w:cs="Times"/>
          <w:lang w:val="es-MX"/>
        </w:rPr>
      </w:pPr>
      <w:r>
        <w:rPr>
          <w:rFonts w:cs="Times"/>
          <w:lang w:val="es-MX"/>
        </w:rPr>
        <w:t>Actualmente, uno de los problemas que se generan al momento de la autenticación</w:t>
      </w:r>
      <w:r w:rsidR="00301A9A">
        <w:rPr>
          <w:rFonts w:cs="Times"/>
          <w:lang w:val="es-MX"/>
        </w:rPr>
        <w:t>,</w:t>
      </w:r>
      <w:r>
        <w:rPr>
          <w:rFonts w:cs="Times"/>
          <w:lang w:val="es-MX"/>
        </w:rPr>
        <w:t xml:space="preserve"> presentados en los protocolos centralizados</w:t>
      </w:r>
      <w:r w:rsidR="00301A9A">
        <w:rPr>
          <w:rFonts w:cs="Times"/>
          <w:lang w:val="es-MX"/>
        </w:rPr>
        <w:t>,</w:t>
      </w:r>
      <w:r>
        <w:rPr>
          <w:rFonts w:cs="Times"/>
          <w:lang w:val="es-MX"/>
        </w:rPr>
        <w:t xml:space="preserve"> es que quien identifica a los usuarios es una sola entidad, la autoridad certificadora. De esta manera, un ataque realizado por un tercero malicioso se centrará en corromper dicha entidad. Este tipo de ataques pueden negar el acceso a servicios de la aplicación a diferentes usuarios, entre otras cosas. Un ejemplo de ello es el ataque de negación de servicios, DoS por sus siglas en inglés, que se realizó hace poco más de un año a Dyn, un importante proveedor de nombres de dominio, que daba servicio a clientes importantes como Spotify, Netflix y Twitter [7]. Ya que el servicio de DNS es un servicio centralizado, similar a la Autoridad Certificadora, </w:t>
      </w:r>
      <w:r w:rsidR="005021BE">
        <w:rPr>
          <w:rFonts w:cs="Times"/>
          <w:lang w:val="es-MX"/>
        </w:rPr>
        <w:t xml:space="preserve">es posible que un ataque similar sea realizado a un servicio de autenticación centralizada generando un </w:t>
      </w:r>
      <w:r>
        <w:rPr>
          <w:rFonts w:cs="Times"/>
          <w:lang w:val="es-MX"/>
        </w:rPr>
        <w:t>impacto</w:t>
      </w:r>
      <w:r w:rsidR="005021BE">
        <w:rPr>
          <w:rFonts w:cs="Times"/>
          <w:lang w:val="es-MX"/>
        </w:rPr>
        <w:t xml:space="preserve"> </w:t>
      </w:r>
      <w:r w:rsidR="004C5721">
        <w:rPr>
          <w:rFonts w:cs="Times"/>
          <w:lang w:val="es-MX"/>
        </w:rPr>
        <w:t>similar</w:t>
      </w:r>
      <w:r>
        <w:rPr>
          <w:rFonts w:cs="Times"/>
          <w:lang w:val="es-MX"/>
        </w:rPr>
        <w:t>.</w:t>
      </w:r>
    </w:p>
    <w:p w:rsidR="00F11766" w:rsidRPr="0072377E" w:rsidRDefault="00F11766" w:rsidP="001E7BEC">
      <w:pPr>
        <w:ind w:firstLine="720"/>
        <w:rPr>
          <w:rFonts w:cs="Times"/>
          <w:lang w:val="es-MX"/>
        </w:rPr>
      </w:pPr>
    </w:p>
    <w:p w:rsidR="00EF6FE7" w:rsidRDefault="00301A9A" w:rsidP="00301A9A">
      <w:pPr>
        <w:ind w:firstLine="720"/>
        <w:rPr>
          <w:rFonts w:cs="Times"/>
          <w:lang w:val="es-MX"/>
        </w:rPr>
      </w:pPr>
      <w:r>
        <w:rPr>
          <w:rFonts w:cs="Times"/>
          <w:lang w:val="es-MX"/>
        </w:rPr>
        <w:t>Por otro lado</w:t>
      </w:r>
      <w:r w:rsidR="000201E4">
        <w:rPr>
          <w:rFonts w:cs="Times"/>
          <w:lang w:val="es-MX"/>
        </w:rPr>
        <w:t xml:space="preserve">, la autenticación </w:t>
      </w:r>
      <w:r w:rsidR="001E7BEC">
        <w:rPr>
          <w:rFonts w:cs="Times"/>
          <w:lang w:val="es-MX"/>
        </w:rPr>
        <w:t xml:space="preserve">distribuida </w:t>
      </w:r>
      <w:r>
        <w:rPr>
          <w:rFonts w:cs="Times"/>
          <w:lang w:val="es-MX"/>
        </w:rPr>
        <w:t xml:space="preserve">también tiene ciertos inconvenientes. Principalmente, por ser un sistema basado en confianza en donde el usuario no es identificado, </w:t>
      </w:r>
      <w:r w:rsidR="004C5721">
        <w:rPr>
          <w:rFonts w:cs="Times"/>
          <w:lang w:val="es-MX"/>
        </w:rPr>
        <w:t xml:space="preserve">no existe una forma criptográfica de verificación de </w:t>
      </w:r>
      <w:r>
        <w:rPr>
          <w:rFonts w:cs="Times"/>
          <w:lang w:val="es-MX"/>
        </w:rPr>
        <w:t xml:space="preserve">la identidad de las personas que están realizando algún tipo de transacción u otro tipo de movimiento. Es decir, que en un protocolo de autenticación </w:t>
      </w:r>
      <w:r w:rsidR="004319B0">
        <w:rPr>
          <w:rFonts w:cs="Times"/>
          <w:lang w:val="es-MX"/>
        </w:rPr>
        <w:t>distribuido</w:t>
      </w:r>
      <w:r w:rsidR="004C5721">
        <w:rPr>
          <w:rFonts w:cs="Times"/>
          <w:lang w:val="es-MX"/>
        </w:rPr>
        <w:t xml:space="preserve"> sólo se puede autenticar a la entidad involucrada</w:t>
      </w:r>
      <w:r w:rsidR="004319B0">
        <w:rPr>
          <w:rFonts w:cs="Times"/>
          <w:lang w:val="es-MX"/>
        </w:rPr>
        <w:t xml:space="preserve"> </w:t>
      </w:r>
      <w:r>
        <w:rPr>
          <w:rFonts w:cs="Times"/>
          <w:lang w:val="es-MX"/>
        </w:rPr>
        <w:t xml:space="preserve">mas no identificarlo </w:t>
      </w:r>
      <w:r w:rsidR="001D711A">
        <w:rPr>
          <w:rFonts w:cs="Times"/>
          <w:lang w:val="es-MX"/>
        </w:rPr>
        <w:t>provocando</w:t>
      </w:r>
      <w:r>
        <w:rPr>
          <w:rFonts w:cs="Times"/>
          <w:lang w:val="es-MX"/>
        </w:rPr>
        <w:t xml:space="preserve"> el anonimato del usuario</w:t>
      </w:r>
      <w:r w:rsidR="001D711A">
        <w:rPr>
          <w:rFonts w:cs="Times"/>
          <w:lang w:val="es-MX"/>
        </w:rPr>
        <w:t xml:space="preserve"> </w:t>
      </w:r>
      <w:r w:rsidR="004319B0">
        <w:rPr>
          <w:rFonts w:cs="Times"/>
          <w:lang w:val="es-MX"/>
        </w:rPr>
        <w:t>y</w:t>
      </w:r>
      <w:r w:rsidR="001D711A">
        <w:rPr>
          <w:rFonts w:cs="Times"/>
          <w:lang w:val="es-MX"/>
        </w:rPr>
        <w:t xml:space="preserve"> de esta manera, </w:t>
      </w:r>
      <w:r w:rsidR="004319B0">
        <w:rPr>
          <w:rFonts w:cs="Times"/>
          <w:lang w:val="es-MX"/>
        </w:rPr>
        <w:t xml:space="preserve">que, </w:t>
      </w:r>
      <w:r w:rsidR="004C5721">
        <w:rPr>
          <w:rFonts w:cs="Times"/>
          <w:lang w:val="es-MX"/>
        </w:rPr>
        <w:t xml:space="preserve">si una transacción </w:t>
      </w:r>
      <w:r w:rsidR="004319B0">
        <w:rPr>
          <w:rFonts w:cs="Times"/>
          <w:lang w:val="es-MX"/>
        </w:rPr>
        <w:t>ilícita</w:t>
      </w:r>
      <w:r w:rsidR="004C5721">
        <w:rPr>
          <w:rFonts w:cs="Times"/>
          <w:lang w:val="es-MX"/>
        </w:rPr>
        <w:t xml:space="preserve"> es realizada</w:t>
      </w:r>
      <w:r w:rsidR="004319B0">
        <w:rPr>
          <w:rFonts w:cs="Times"/>
          <w:lang w:val="es-MX"/>
        </w:rPr>
        <w:t>, no se</w:t>
      </w:r>
      <w:r w:rsidR="002D6AFE">
        <w:rPr>
          <w:rFonts w:cs="Times"/>
          <w:lang w:val="es-MX"/>
        </w:rPr>
        <w:t>a posible identificar al</w:t>
      </w:r>
      <w:r w:rsidR="004319B0">
        <w:rPr>
          <w:rFonts w:cs="Times"/>
          <w:lang w:val="es-MX"/>
        </w:rPr>
        <w:t xml:space="preserve"> usuario de esa transacción.</w:t>
      </w:r>
    </w:p>
    <w:p w:rsidR="00A35284" w:rsidRPr="005E28F2" w:rsidRDefault="00A35284" w:rsidP="00A35284">
      <w:pPr>
        <w:pStyle w:val="heading10"/>
        <w:rPr>
          <w:rFonts w:cs="Times"/>
          <w:lang w:val="es-MX"/>
        </w:rPr>
      </w:pPr>
      <w:r w:rsidRPr="005E28F2">
        <w:rPr>
          <w:rFonts w:cs="Times"/>
          <w:lang w:val="es-MX"/>
        </w:rPr>
        <w:t xml:space="preserve">3   </w:t>
      </w:r>
      <w:r w:rsidRPr="005E28F2">
        <w:rPr>
          <w:rFonts w:cs="Times"/>
          <w:szCs w:val="24"/>
          <w:lang w:val="es-MX"/>
        </w:rPr>
        <w:t>Justificación</w:t>
      </w:r>
    </w:p>
    <w:p w:rsidR="001D711A" w:rsidRDefault="002D6AFE" w:rsidP="00780633">
      <w:pPr>
        <w:ind w:firstLine="720"/>
        <w:rPr>
          <w:rFonts w:cs="Times"/>
          <w:lang w:val="es-MX"/>
        </w:rPr>
      </w:pPr>
      <w:r>
        <w:rPr>
          <w:rFonts w:cs="Times"/>
          <w:lang w:val="es-MX"/>
        </w:rPr>
        <w:t xml:space="preserve">Dado que </w:t>
      </w:r>
      <w:r w:rsidR="00365073" w:rsidRPr="00C55BC4">
        <w:rPr>
          <w:rFonts w:cs="Times"/>
          <w:lang w:val="es-MX"/>
        </w:rPr>
        <w:t xml:space="preserve">los protocolos </w:t>
      </w:r>
      <w:r>
        <w:rPr>
          <w:rFonts w:cs="Times"/>
          <w:lang w:val="es-MX"/>
        </w:rPr>
        <w:t xml:space="preserve">de autenticación son la base de acceso de muchos de </w:t>
      </w:r>
      <w:r w:rsidR="00512F41">
        <w:rPr>
          <w:rFonts w:cs="Times"/>
          <w:lang w:val="es-MX"/>
        </w:rPr>
        <w:t>los sistemas</w:t>
      </w:r>
      <w:r>
        <w:rPr>
          <w:rFonts w:cs="Times"/>
          <w:lang w:val="es-MX"/>
        </w:rPr>
        <w:t xml:space="preserve"> usados hoy en día</w:t>
      </w:r>
      <w:r w:rsidR="00365073" w:rsidRPr="00C55BC4">
        <w:rPr>
          <w:rFonts w:cs="Times"/>
          <w:lang w:val="es-MX"/>
        </w:rPr>
        <w:t>,</w:t>
      </w:r>
      <w:r w:rsidR="00034051">
        <w:rPr>
          <w:rFonts w:cs="Times"/>
          <w:lang w:val="es-MX"/>
        </w:rPr>
        <w:t xml:space="preserve"> </w:t>
      </w:r>
      <w:r w:rsidR="00365073" w:rsidRPr="00C55BC4">
        <w:rPr>
          <w:rFonts w:cs="Times"/>
          <w:lang w:val="es-MX"/>
        </w:rPr>
        <w:t>es muy importante que</w:t>
      </w:r>
      <w:r>
        <w:rPr>
          <w:rFonts w:cs="Times"/>
          <w:lang w:val="es-MX"/>
        </w:rPr>
        <w:t xml:space="preserve"> esta</w:t>
      </w:r>
      <w:r w:rsidR="00365073" w:rsidRPr="00C55BC4">
        <w:rPr>
          <w:rFonts w:cs="Times"/>
          <w:lang w:val="es-MX"/>
        </w:rPr>
        <w:t xml:space="preserve"> se realice de manera segura.</w:t>
      </w:r>
      <w:r w:rsidR="00FE7A4F">
        <w:rPr>
          <w:rFonts w:cs="Times"/>
          <w:lang w:val="es-MX"/>
        </w:rPr>
        <w:t xml:space="preserve"> La solución óptima sería un protocolo</w:t>
      </w:r>
      <w:r w:rsidR="00512F41">
        <w:rPr>
          <w:rFonts w:cs="Times"/>
          <w:lang w:val="es-MX"/>
        </w:rPr>
        <w:t xml:space="preserve"> </w:t>
      </w:r>
      <w:r w:rsidR="00FE7A4F">
        <w:rPr>
          <w:rFonts w:cs="Times"/>
          <w:lang w:val="es-MX"/>
        </w:rPr>
        <w:t>que solo otor</w:t>
      </w:r>
      <w:r>
        <w:rPr>
          <w:rFonts w:cs="Times"/>
          <w:lang w:val="es-MX"/>
        </w:rPr>
        <w:t>ga acceso a cierta información</w:t>
      </w:r>
      <w:r w:rsidR="00FE7A4F">
        <w:rPr>
          <w:rFonts w:cs="Times"/>
          <w:lang w:val="es-MX"/>
        </w:rPr>
        <w:t xml:space="preserve"> quitando la necesidad de que cada sistema almace</w:t>
      </w:r>
      <w:r w:rsidR="00512F41">
        <w:rPr>
          <w:rFonts w:cs="Times"/>
          <w:lang w:val="es-MX"/>
        </w:rPr>
        <w:t xml:space="preserve">ne credenciales por </w:t>
      </w:r>
      <w:r w:rsidR="00FE7A4F">
        <w:rPr>
          <w:rFonts w:cs="Times"/>
          <w:lang w:val="es-MX"/>
        </w:rPr>
        <w:t xml:space="preserve">usuario. </w:t>
      </w:r>
      <w:r w:rsidR="001D711A">
        <w:rPr>
          <w:rFonts w:cs="Times"/>
          <w:lang w:val="es-MX"/>
        </w:rPr>
        <w:t xml:space="preserve">Es decir, que el protocolo le ayude al sistema o servicio a </w:t>
      </w:r>
      <w:r>
        <w:rPr>
          <w:rFonts w:cs="Times"/>
          <w:lang w:val="es-MX"/>
        </w:rPr>
        <w:t>conocer</w:t>
      </w:r>
      <w:bookmarkStart w:id="0" w:name="_GoBack"/>
      <w:bookmarkEnd w:id="0"/>
      <w:r w:rsidR="001D711A">
        <w:rPr>
          <w:rFonts w:cs="Times"/>
          <w:lang w:val="es-MX"/>
        </w:rPr>
        <w:t xml:space="preserve"> la identidad de sus usuarios y que a su vez permita cierto anonimato del usuario en transacciones en las que no se requiera s</w:t>
      </w:r>
      <w:r w:rsidR="000611F8">
        <w:rPr>
          <w:rFonts w:cs="Times"/>
          <w:lang w:val="es-MX"/>
        </w:rPr>
        <w:t>er identificado.</w:t>
      </w:r>
    </w:p>
    <w:p w:rsidR="000611F8" w:rsidRDefault="000611F8" w:rsidP="001D711A">
      <w:pPr>
        <w:ind w:firstLine="0"/>
        <w:rPr>
          <w:rFonts w:cs="Times"/>
          <w:lang w:val="es-MX"/>
        </w:rPr>
      </w:pPr>
    </w:p>
    <w:p w:rsidR="004319B0" w:rsidRDefault="00FE7A4F" w:rsidP="004319B0">
      <w:pPr>
        <w:ind w:firstLine="720"/>
        <w:rPr>
          <w:rFonts w:cs="Times"/>
          <w:lang w:val="es-MX"/>
        </w:rPr>
      </w:pPr>
      <w:r>
        <w:rPr>
          <w:rFonts w:cs="Times"/>
          <w:lang w:val="es-MX"/>
        </w:rPr>
        <w:t>Blockcha</w:t>
      </w:r>
      <w:r w:rsidR="00512F41">
        <w:rPr>
          <w:rFonts w:cs="Times"/>
          <w:lang w:val="es-MX"/>
        </w:rPr>
        <w:t>in ofrece este enfoque mediante</w:t>
      </w:r>
      <w:r w:rsidR="00D347DC">
        <w:rPr>
          <w:rFonts w:cs="Times"/>
          <w:lang w:val="es-MX"/>
        </w:rPr>
        <w:t xml:space="preserve"> la </w:t>
      </w:r>
      <w:r>
        <w:rPr>
          <w:rFonts w:cs="Times"/>
          <w:lang w:val="es-MX"/>
        </w:rPr>
        <w:t>distribu</w:t>
      </w:r>
      <w:r w:rsidR="00D347DC">
        <w:rPr>
          <w:rFonts w:cs="Times"/>
          <w:lang w:val="es-MX"/>
        </w:rPr>
        <w:t>ción</w:t>
      </w:r>
      <w:r>
        <w:rPr>
          <w:rFonts w:cs="Times"/>
          <w:lang w:val="es-MX"/>
        </w:rPr>
        <w:t xml:space="preserve"> </w:t>
      </w:r>
      <w:r w:rsidR="00D347DC">
        <w:rPr>
          <w:rFonts w:cs="Times"/>
          <w:lang w:val="es-MX"/>
        </w:rPr>
        <w:t xml:space="preserve">de la </w:t>
      </w:r>
      <w:r>
        <w:rPr>
          <w:rFonts w:cs="Times"/>
          <w:lang w:val="es-MX"/>
        </w:rPr>
        <w:t xml:space="preserve">propiedad de las credenciales y la disponibilidad de almacenar en una cadena inmutable de datos. Estos son almacenados en un libro compartido que </w:t>
      </w:r>
      <w:r w:rsidR="00512F41">
        <w:rPr>
          <w:rFonts w:cs="Times"/>
          <w:lang w:val="es-MX"/>
        </w:rPr>
        <w:t>es distribuido a cada</w:t>
      </w:r>
      <w:r>
        <w:rPr>
          <w:rFonts w:cs="Times"/>
          <w:lang w:val="es-MX"/>
        </w:rPr>
        <w:t xml:space="preserve"> entidad, reflejando un registro de cada transacción realizada</w:t>
      </w:r>
      <w:r w:rsidR="00470934">
        <w:rPr>
          <w:rFonts w:cs="Times"/>
          <w:lang w:val="es-MX"/>
        </w:rPr>
        <w:t>.</w:t>
      </w:r>
      <w:r w:rsidR="004319B0">
        <w:rPr>
          <w:rFonts w:cs="Times"/>
          <w:lang w:val="es-MX"/>
        </w:rPr>
        <w:t xml:space="preserve"> </w:t>
      </w:r>
      <w:r w:rsidR="001D711A">
        <w:rPr>
          <w:rFonts w:cs="Times"/>
          <w:lang w:val="es-MX"/>
        </w:rPr>
        <w:t xml:space="preserve">Mientras que C.A.S. o cualquier otro protocolo de autenticación centralizada permitirá que el usuario sea identificado mediante la </w:t>
      </w:r>
      <w:r w:rsidR="004319B0">
        <w:rPr>
          <w:rFonts w:cs="Times"/>
          <w:lang w:val="es-MX"/>
        </w:rPr>
        <w:t>autoridad</w:t>
      </w:r>
      <w:r w:rsidR="001D711A">
        <w:rPr>
          <w:rFonts w:cs="Times"/>
          <w:lang w:val="es-MX"/>
        </w:rPr>
        <w:t xml:space="preserve"> certificadora</w:t>
      </w:r>
      <w:r w:rsidR="004319B0">
        <w:rPr>
          <w:rFonts w:cs="Times"/>
          <w:lang w:val="es-MX"/>
        </w:rPr>
        <w:t xml:space="preserve"> y así poder conocer la identidad del usuario.</w:t>
      </w:r>
    </w:p>
    <w:p w:rsidR="00A35284" w:rsidRPr="005E28F2" w:rsidRDefault="00A35284" w:rsidP="00A35284">
      <w:pPr>
        <w:pStyle w:val="heading10"/>
        <w:rPr>
          <w:rFonts w:cs="Times"/>
          <w:lang w:val="es-MX"/>
        </w:rPr>
      </w:pPr>
      <w:r w:rsidRPr="005E28F2">
        <w:rPr>
          <w:rFonts w:cs="Times"/>
          <w:szCs w:val="24"/>
          <w:lang w:val="es-MX"/>
        </w:rPr>
        <w:t>4</w:t>
      </w:r>
      <w:r w:rsidRPr="005E28F2">
        <w:rPr>
          <w:rFonts w:cs="Times"/>
          <w:lang w:val="es-MX"/>
        </w:rPr>
        <w:t xml:space="preserve">   </w:t>
      </w:r>
      <w:r w:rsidRPr="005E28F2">
        <w:rPr>
          <w:rFonts w:cs="Times"/>
          <w:szCs w:val="24"/>
          <w:lang w:val="es-MX"/>
        </w:rPr>
        <w:t>Contribuciones Esperadas</w:t>
      </w:r>
    </w:p>
    <w:p w:rsidR="006B5750" w:rsidRDefault="006B5750" w:rsidP="00D347DC">
      <w:pPr>
        <w:ind w:firstLine="720"/>
        <w:contextualSpacing/>
        <w:rPr>
          <w:rFonts w:cs="Times"/>
          <w:lang w:val="es-MX"/>
        </w:rPr>
      </w:pPr>
      <w:r>
        <w:rPr>
          <w:rFonts w:cs="Times"/>
          <w:lang w:val="es-MX"/>
        </w:rPr>
        <w:t xml:space="preserve">Se espera </w:t>
      </w:r>
      <w:r w:rsidR="00A35284" w:rsidRPr="00E454DE">
        <w:rPr>
          <w:rFonts w:cs="Times"/>
          <w:lang w:val="es-MX"/>
        </w:rPr>
        <w:t xml:space="preserve">contribuir </w:t>
      </w:r>
      <w:r>
        <w:rPr>
          <w:rFonts w:cs="Times"/>
          <w:lang w:val="es-MX"/>
        </w:rPr>
        <w:t xml:space="preserve">con un prototipo de protocolo de autenticación para mejorar la autenticación del usuario tanto para la aplicación como </w:t>
      </w:r>
      <w:r w:rsidR="00EF6464">
        <w:rPr>
          <w:rFonts w:cs="Times"/>
          <w:lang w:val="es-MX"/>
        </w:rPr>
        <w:t xml:space="preserve">para </w:t>
      </w:r>
      <w:r>
        <w:rPr>
          <w:rFonts w:cs="Times"/>
          <w:lang w:val="es-MX"/>
        </w:rPr>
        <w:t>el usuario que desea autenticarse</w:t>
      </w:r>
      <w:r w:rsidR="00455894">
        <w:rPr>
          <w:rFonts w:cs="Times"/>
          <w:lang w:val="es-MX"/>
        </w:rPr>
        <w:t>, utilizando ciertas características tanto de protocolos centralizados como distribuidos</w:t>
      </w:r>
      <w:r>
        <w:rPr>
          <w:rFonts w:cs="Times"/>
          <w:lang w:val="es-MX"/>
        </w:rPr>
        <w:t xml:space="preserve">. Es decir, </w:t>
      </w:r>
      <w:r w:rsidR="00D347DC">
        <w:rPr>
          <w:rFonts w:cs="Times"/>
          <w:lang w:val="es-MX"/>
        </w:rPr>
        <w:t xml:space="preserve">el protocolo se comportaría de la manera en que el centro de la </w:t>
      </w:r>
      <w:r w:rsidR="005D52CE">
        <w:rPr>
          <w:rFonts w:cs="Times"/>
          <w:lang w:val="es-MX"/>
        </w:rPr>
        <w:t>autenticación</w:t>
      </w:r>
      <w:r w:rsidR="00D347DC">
        <w:rPr>
          <w:rFonts w:cs="Times"/>
          <w:lang w:val="es-MX"/>
        </w:rPr>
        <w:t xml:space="preserve"> de bloque de bloques sería un ID de bloque de bloques</w:t>
      </w:r>
      <w:r w:rsidR="00455894">
        <w:rPr>
          <w:rFonts w:cs="Times"/>
          <w:lang w:val="es-MX"/>
        </w:rPr>
        <w:t xml:space="preserve"> y sea otorgado por la autoridad certificadora</w:t>
      </w:r>
      <w:r>
        <w:rPr>
          <w:rFonts w:cs="Times"/>
          <w:lang w:val="es-MX"/>
        </w:rPr>
        <w:t>.</w:t>
      </w:r>
      <w:r w:rsidR="00D347DC">
        <w:rPr>
          <w:rFonts w:cs="Times"/>
          <w:lang w:val="es-MX"/>
        </w:rPr>
        <w:t xml:space="preserve"> Este ID es un bloque de datos en la cadena que podrá ser verificada por algún tercero y que solo muestre la información necesaria.</w:t>
      </w:r>
    </w:p>
    <w:p w:rsidR="00FF08B2" w:rsidRDefault="00FF08B2" w:rsidP="00D347DC">
      <w:pPr>
        <w:ind w:firstLine="720"/>
        <w:contextualSpacing/>
        <w:rPr>
          <w:rFonts w:cs="Times"/>
          <w:lang w:val="es-MX"/>
        </w:rPr>
      </w:pPr>
    </w:p>
    <w:p w:rsidR="006B5750" w:rsidRDefault="00D347DC" w:rsidP="00A35284">
      <w:pPr>
        <w:ind w:firstLine="0"/>
        <w:contextualSpacing/>
        <w:rPr>
          <w:rFonts w:cs="Times"/>
          <w:lang w:val="es-MX"/>
        </w:rPr>
      </w:pPr>
      <w:r>
        <w:rPr>
          <w:rFonts w:cs="Times"/>
          <w:lang w:val="es-MX"/>
        </w:rPr>
        <w:tab/>
        <w:t xml:space="preserve">Para la verificación se usará un algoritmo de firma digital de manera que, cuando se añada un ID a Blockchain, un servicio de emisión de identificación enlace </w:t>
      </w:r>
      <w:r w:rsidR="005D52CE">
        <w:rPr>
          <w:rFonts w:cs="Times"/>
          <w:lang w:val="es-MX"/>
        </w:rPr>
        <w:t>una clave pública de forma predeterminada y luego transfiera la propiedad de la clave privada al usuario. Esto permite que solo el usuario firme una firma que se puede verificar contra la clave pública almacenada en la cadena de bloques.</w:t>
      </w:r>
      <w:r w:rsidR="00EF6FE7">
        <w:rPr>
          <w:rFonts w:cs="Times"/>
          <w:lang w:val="es-MX"/>
        </w:rPr>
        <w:t xml:space="preserve"> </w:t>
      </w:r>
      <w:r w:rsidR="005D52CE" w:rsidRPr="005D52CE">
        <w:rPr>
          <w:rFonts w:cs="Times"/>
          <w:lang w:val="es-MX"/>
        </w:rPr>
        <w:t xml:space="preserve">Esta identificación de un usuario sería una fuente </w:t>
      </w:r>
      <w:r w:rsidR="005D52CE">
        <w:rPr>
          <w:rFonts w:cs="Times"/>
          <w:lang w:val="es-MX"/>
        </w:rPr>
        <w:t>distribuida</w:t>
      </w:r>
      <w:r w:rsidR="005D52CE" w:rsidRPr="005D52CE">
        <w:rPr>
          <w:rFonts w:cs="Times"/>
          <w:lang w:val="es-MX"/>
        </w:rPr>
        <w:t xml:space="preserve"> de autenticación. Sería esencialmente un portal de inicio de sesión único al que cualquier aplicación puede acceder pero que no pertenece a ninguna entidad individual.</w:t>
      </w:r>
    </w:p>
    <w:p w:rsidR="00FF08B2" w:rsidRDefault="00FF08B2" w:rsidP="00A35284">
      <w:pPr>
        <w:ind w:firstLine="0"/>
        <w:contextualSpacing/>
        <w:rPr>
          <w:rFonts w:cs="Times"/>
          <w:lang w:val="es-MX"/>
        </w:rPr>
      </w:pPr>
    </w:p>
    <w:p w:rsidR="00A35284" w:rsidRPr="005E28F2" w:rsidRDefault="006B5750" w:rsidP="005D52CE">
      <w:pPr>
        <w:ind w:firstLine="720"/>
        <w:contextualSpacing/>
        <w:rPr>
          <w:rFonts w:cs="Times"/>
          <w:lang w:val="es-MX"/>
        </w:rPr>
      </w:pPr>
      <w:r>
        <w:rPr>
          <w:rFonts w:cs="Times"/>
          <w:lang w:val="es-MX"/>
        </w:rPr>
        <w:t xml:space="preserve">Se espera </w:t>
      </w:r>
      <w:r w:rsidR="005D52CE">
        <w:rPr>
          <w:rFonts w:cs="Times"/>
          <w:lang w:val="es-MX"/>
        </w:rPr>
        <w:t>generar el prototipo</w:t>
      </w:r>
      <w:r>
        <w:rPr>
          <w:rFonts w:cs="Times"/>
          <w:lang w:val="es-MX"/>
        </w:rPr>
        <w:t xml:space="preserve"> de</w:t>
      </w:r>
      <w:r w:rsidR="005D52CE">
        <w:rPr>
          <w:rFonts w:cs="Times"/>
          <w:lang w:val="es-MX"/>
        </w:rPr>
        <w:t>l</w:t>
      </w:r>
      <w:r>
        <w:rPr>
          <w:rFonts w:cs="Times"/>
          <w:lang w:val="es-MX"/>
        </w:rPr>
        <w:t xml:space="preserve"> protocolo </w:t>
      </w:r>
      <w:r w:rsidR="00884234">
        <w:rPr>
          <w:rFonts w:cs="Times"/>
          <w:lang w:val="es-MX"/>
        </w:rPr>
        <w:t>con estas características y que</w:t>
      </w:r>
      <w:r w:rsidR="005D52CE">
        <w:rPr>
          <w:rFonts w:cs="Times"/>
          <w:lang w:val="es-MX"/>
        </w:rPr>
        <w:t xml:space="preserve"> </w:t>
      </w:r>
      <w:r w:rsidR="00884234">
        <w:rPr>
          <w:rFonts w:cs="Times"/>
          <w:lang w:val="es-MX"/>
        </w:rPr>
        <w:t>d</w:t>
      </w:r>
      <w:r w:rsidR="005D52CE">
        <w:rPr>
          <w:rFonts w:cs="Times"/>
          <w:lang w:val="es-MX"/>
        </w:rPr>
        <w:t>e</w:t>
      </w:r>
      <w:r>
        <w:rPr>
          <w:rFonts w:cs="Times"/>
          <w:lang w:val="es-MX"/>
        </w:rPr>
        <w:t xml:space="preserve"> esta manera se pueda asegurar la autenticación como una propiedad de seguridad</w:t>
      </w:r>
      <w:r w:rsidR="005D52CE">
        <w:rPr>
          <w:rFonts w:cs="Times"/>
          <w:lang w:val="es-MX"/>
        </w:rPr>
        <w:t>, p</w:t>
      </w:r>
      <w:r w:rsidR="00813715">
        <w:rPr>
          <w:rFonts w:cs="Times"/>
          <w:lang w:val="es-MX"/>
        </w:rPr>
        <w:t xml:space="preserve">ermitiendo así </w:t>
      </w:r>
      <w:r w:rsidR="005D52CE">
        <w:rPr>
          <w:rFonts w:cs="Times"/>
          <w:lang w:val="es-MX"/>
        </w:rPr>
        <w:t>una autenticación de manera segura y eficaz</w:t>
      </w:r>
      <w:r w:rsidR="00813715">
        <w:rPr>
          <w:rFonts w:cs="Times"/>
          <w:lang w:val="es-MX"/>
        </w:rPr>
        <w:t>.</w:t>
      </w:r>
    </w:p>
    <w:p w:rsidR="00A35284" w:rsidRPr="005E28F2" w:rsidRDefault="00A35284" w:rsidP="00A35284">
      <w:pPr>
        <w:pStyle w:val="heading10"/>
        <w:rPr>
          <w:lang w:val="es-MX"/>
        </w:rPr>
      </w:pPr>
      <w:r w:rsidRPr="005E28F2">
        <w:rPr>
          <w:lang w:val="es-MX"/>
        </w:rPr>
        <w:t xml:space="preserve">5   </w:t>
      </w:r>
      <w:r w:rsidRPr="005E28F2">
        <w:rPr>
          <w:rFonts w:cs="Times"/>
          <w:szCs w:val="24"/>
          <w:lang w:val="es-MX"/>
        </w:rPr>
        <w:t>Metodología</w:t>
      </w:r>
    </w:p>
    <w:p w:rsidR="008A42EF" w:rsidRDefault="00A35284" w:rsidP="00A35284">
      <w:pPr>
        <w:ind w:firstLine="0"/>
        <w:rPr>
          <w:lang w:val="es-MX"/>
        </w:rPr>
      </w:pPr>
      <w:r>
        <w:rPr>
          <w:lang w:val="es-MX"/>
        </w:rPr>
        <w:t xml:space="preserve">Para </w:t>
      </w:r>
      <w:r w:rsidRPr="00E454DE">
        <w:rPr>
          <w:lang w:val="es-MX"/>
        </w:rPr>
        <w:t xml:space="preserve">lograr complementar esta investigación, se desarrollará </w:t>
      </w:r>
      <w:r w:rsidR="005D52CE">
        <w:rPr>
          <w:lang w:val="es-MX"/>
        </w:rPr>
        <w:t xml:space="preserve">el prototipo de </w:t>
      </w:r>
      <w:r w:rsidRPr="00E454DE">
        <w:rPr>
          <w:lang w:val="es-MX"/>
        </w:rPr>
        <w:t xml:space="preserve">un protocolo de autenticación que permita autenticar a los usuarios de una manera segura, simple y lo más distribuida posible. Así mismo para el desarrollo de este protocolo se utilizará un marco de referencia para desarrollar el proyecto, en este caso se utilizarán algunas </w:t>
      </w:r>
      <w:r w:rsidR="005D52CE">
        <w:rPr>
          <w:lang w:val="es-MX"/>
        </w:rPr>
        <w:t>prácticas</w:t>
      </w:r>
      <w:r w:rsidRPr="00E454DE">
        <w:rPr>
          <w:lang w:val="es-MX"/>
        </w:rPr>
        <w:t xml:space="preserve"> que sugiera Discipline</w:t>
      </w:r>
      <w:r w:rsidR="00372130">
        <w:rPr>
          <w:lang w:val="es-MX"/>
        </w:rPr>
        <w:t>d</w:t>
      </w:r>
      <w:r w:rsidRPr="00E454DE">
        <w:rPr>
          <w:lang w:val="es-MX"/>
        </w:rPr>
        <w:t xml:space="preserve"> Agile </w:t>
      </w:r>
      <w:r w:rsidR="00FF08B2">
        <w:rPr>
          <w:lang w:val="es-MX"/>
        </w:rPr>
        <w:t>[9</w:t>
      </w:r>
      <w:r>
        <w:rPr>
          <w:lang w:val="es-MX"/>
        </w:rPr>
        <w:t xml:space="preserve">] </w:t>
      </w:r>
      <w:r w:rsidRPr="00E454DE">
        <w:rPr>
          <w:lang w:val="es-MX"/>
        </w:rPr>
        <w:t>para el desarrollo del proyecto. Además de esto, se utilizarán procesos previamente definidos para el desarrollo del protocolo que faciliten su implementación, utilizando el marco de referencia de CMMI</w:t>
      </w:r>
      <w:r w:rsidR="00FF08B2">
        <w:rPr>
          <w:lang w:val="es-MX"/>
        </w:rPr>
        <w:t xml:space="preserve"> [10</w:t>
      </w:r>
      <w:r w:rsidR="00F03ED8">
        <w:rPr>
          <w:lang w:val="es-MX"/>
        </w:rPr>
        <w:t>]</w:t>
      </w:r>
      <w:r w:rsidRPr="00E454DE">
        <w:rPr>
          <w:lang w:val="es-MX"/>
        </w:rPr>
        <w:t>. Esto con la finalidad de que se logren hacer pruebas al protocolo y pueda ser comparable con algunos de los protocolos de autenticación</w:t>
      </w:r>
      <w:r w:rsidR="005D52CE">
        <w:rPr>
          <w:lang w:val="es-MX"/>
        </w:rPr>
        <w:t xml:space="preserve"> ya existentes</w:t>
      </w:r>
      <w:r w:rsidRPr="00E454DE">
        <w:rPr>
          <w:lang w:val="es-MX"/>
        </w:rPr>
        <w:t>.</w:t>
      </w:r>
    </w:p>
    <w:p w:rsidR="00A35284" w:rsidRPr="005E28F2" w:rsidRDefault="00A35284" w:rsidP="00A35284">
      <w:pPr>
        <w:pStyle w:val="heading10"/>
        <w:rPr>
          <w:lang w:val="es-MX"/>
        </w:rPr>
      </w:pPr>
      <w:r>
        <w:rPr>
          <w:lang w:val="es-MX"/>
        </w:rPr>
        <w:lastRenderedPageBreak/>
        <w:t>6</w:t>
      </w:r>
      <w:r w:rsidRPr="005E28F2">
        <w:rPr>
          <w:lang w:val="es-MX"/>
        </w:rPr>
        <w:t xml:space="preserve">   </w:t>
      </w:r>
      <w:r w:rsidRPr="005E28F2">
        <w:rPr>
          <w:rFonts w:cs="Times"/>
          <w:lang w:val="es-MX"/>
        </w:rPr>
        <w:t>Bibliografía</w:t>
      </w:r>
    </w:p>
    <w:p w:rsidR="00A35284" w:rsidRPr="00FF08B2" w:rsidRDefault="00A35284" w:rsidP="00A35284">
      <w:pPr>
        <w:pStyle w:val="Heading1"/>
        <w:rPr>
          <w:rFonts w:ascii="Times" w:eastAsiaTheme="minorEastAsia" w:hAnsi="Times" w:cs="Times"/>
          <w:noProof/>
          <w:sz w:val="22"/>
          <w:szCs w:val="22"/>
          <w:lang w:eastAsia="ja-JP"/>
        </w:rPr>
      </w:pPr>
      <w:r w:rsidRPr="00DE02C9">
        <w:fldChar w:fldCharType="begin"/>
      </w:r>
      <w:r w:rsidRPr="00DE02C9">
        <w:instrText>BIBLIOGRAPHY</w:instrText>
      </w:r>
      <w:r w:rsidRPr="00DE02C9">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6475"/>
      </w:tblGrid>
      <w:tr w:rsidR="00D41E0B" w:rsidRPr="00FF08B2" w:rsidTr="00780633">
        <w:trPr>
          <w:tblCellSpacing w:w="15" w:type="dxa"/>
        </w:trPr>
        <w:tc>
          <w:tcPr>
            <w:tcW w:w="287" w:type="pct"/>
          </w:tcPr>
          <w:p w:rsidR="00D41E0B" w:rsidRPr="00FF08B2" w:rsidRDefault="00D41E0B" w:rsidP="00E02E17">
            <w:pPr>
              <w:pStyle w:val="Bibliography"/>
              <w:ind w:right="-81" w:firstLine="0"/>
              <w:rPr>
                <w:rFonts w:cs="Times"/>
                <w:noProof/>
                <w:sz w:val="22"/>
                <w:szCs w:val="22"/>
              </w:rPr>
            </w:pPr>
            <w:r w:rsidRPr="00FF08B2">
              <w:rPr>
                <w:rFonts w:cs="Times"/>
                <w:noProof/>
                <w:sz w:val="22"/>
                <w:szCs w:val="22"/>
              </w:rPr>
              <w:t>[1]</w:t>
            </w:r>
          </w:p>
        </w:tc>
        <w:tc>
          <w:tcPr>
            <w:tcW w:w="0" w:type="auto"/>
          </w:tcPr>
          <w:p w:rsidR="00D41E0B" w:rsidRPr="00FF08B2" w:rsidRDefault="00D41E0B" w:rsidP="00E02E17">
            <w:pPr>
              <w:spacing w:line="360" w:lineRule="auto"/>
              <w:ind w:firstLine="0"/>
              <w:rPr>
                <w:rFonts w:cs="Times"/>
                <w:sz w:val="22"/>
                <w:szCs w:val="22"/>
              </w:rPr>
            </w:pPr>
            <w:r w:rsidRPr="00FF08B2">
              <w:rPr>
                <w:rFonts w:cs="Times"/>
                <w:color w:val="000000"/>
                <w:sz w:val="22"/>
                <w:szCs w:val="22"/>
              </w:rPr>
              <w:t>Internet Security Glosary in RFC 2828. In http://www.ietf.org/rfc/rfc2828.txt.</w:t>
            </w:r>
          </w:p>
        </w:tc>
      </w:tr>
      <w:tr w:rsidR="00A35284" w:rsidRPr="00FF08B2" w:rsidTr="00D41E0B">
        <w:trPr>
          <w:tblCellSpacing w:w="15" w:type="dxa"/>
        </w:trPr>
        <w:tc>
          <w:tcPr>
            <w:tcW w:w="263" w:type="pct"/>
            <w:hideMark/>
          </w:tcPr>
          <w:p w:rsidR="00A35284" w:rsidRPr="00FF08B2" w:rsidRDefault="000201E4" w:rsidP="00E02E17">
            <w:pPr>
              <w:pStyle w:val="Bibliography"/>
              <w:ind w:right="-81" w:firstLine="0"/>
              <w:rPr>
                <w:rFonts w:cs="Times"/>
                <w:noProof/>
                <w:sz w:val="22"/>
                <w:szCs w:val="22"/>
              </w:rPr>
            </w:pPr>
            <w:r w:rsidRPr="00FF08B2">
              <w:rPr>
                <w:rFonts w:cs="Times"/>
                <w:noProof/>
                <w:sz w:val="22"/>
                <w:szCs w:val="22"/>
              </w:rPr>
              <w:t>[2</w:t>
            </w:r>
            <w:r w:rsidR="00A35284" w:rsidRPr="00FF08B2">
              <w:rPr>
                <w:rFonts w:cs="Times"/>
                <w:noProof/>
                <w:sz w:val="22"/>
                <w:szCs w:val="22"/>
              </w:rPr>
              <w:t xml:space="preserve">] </w:t>
            </w:r>
          </w:p>
        </w:tc>
        <w:tc>
          <w:tcPr>
            <w:tcW w:w="0" w:type="auto"/>
            <w:hideMark/>
          </w:tcPr>
          <w:p w:rsidR="00A35284" w:rsidRPr="00FF08B2" w:rsidRDefault="000201E4" w:rsidP="000201E4">
            <w:pPr>
              <w:spacing w:line="360" w:lineRule="auto"/>
              <w:ind w:firstLine="0"/>
              <w:rPr>
                <w:rFonts w:cs="Times"/>
                <w:sz w:val="22"/>
                <w:szCs w:val="22"/>
              </w:rPr>
            </w:pPr>
            <w:r w:rsidRPr="00FF08B2">
              <w:rPr>
                <w:rFonts w:cs="Times"/>
                <w:sz w:val="22"/>
                <w:szCs w:val="22"/>
              </w:rPr>
              <w:t>Pradep</w:t>
            </w:r>
            <w:r w:rsidR="00A35284" w:rsidRPr="00FF08B2">
              <w:rPr>
                <w:rFonts w:cs="Times"/>
                <w:sz w:val="22"/>
                <w:szCs w:val="22"/>
              </w:rPr>
              <w:t xml:space="preserve">, </w:t>
            </w:r>
            <w:r w:rsidRPr="00FF08B2">
              <w:rPr>
                <w:rFonts w:cs="Times"/>
                <w:sz w:val="22"/>
                <w:szCs w:val="22"/>
              </w:rPr>
              <w:t>S</w:t>
            </w:r>
            <w:r w:rsidR="00A35284" w:rsidRPr="00FF08B2">
              <w:rPr>
                <w:rFonts w:cs="Times"/>
                <w:sz w:val="22"/>
                <w:szCs w:val="22"/>
              </w:rPr>
              <w:t xml:space="preserve">. </w:t>
            </w:r>
            <w:r w:rsidRPr="00FF08B2">
              <w:rPr>
                <w:rFonts w:cs="Times"/>
                <w:sz w:val="22"/>
                <w:szCs w:val="22"/>
                <w:u w:val="single"/>
              </w:rPr>
              <w:t>Distributed Operating Systems: Concepts and Design</w:t>
            </w:r>
            <w:r w:rsidRPr="00FF08B2">
              <w:rPr>
                <w:rFonts w:cs="Times"/>
                <w:sz w:val="22"/>
                <w:szCs w:val="22"/>
              </w:rPr>
              <w:t>. PHI Lerning Private Limited: 2012.</w:t>
            </w:r>
          </w:p>
        </w:tc>
      </w:tr>
      <w:tr w:rsidR="000201E4" w:rsidRPr="00FF08B2" w:rsidTr="00D41E0B">
        <w:trPr>
          <w:tblCellSpacing w:w="15" w:type="dxa"/>
        </w:trPr>
        <w:tc>
          <w:tcPr>
            <w:tcW w:w="263" w:type="pct"/>
            <w:hideMark/>
          </w:tcPr>
          <w:p w:rsidR="000201E4" w:rsidRPr="00FF08B2" w:rsidRDefault="000201E4" w:rsidP="000201E4">
            <w:pPr>
              <w:pStyle w:val="Bibliography"/>
              <w:ind w:firstLine="0"/>
              <w:rPr>
                <w:rFonts w:cs="Times"/>
                <w:noProof/>
                <w:sz w:val="22"/>
                <w:szCs w:val="22"/>
              </w:rPr>
            </w:pPr>
            <w:r w:rsidRPr="00FF08B2">
              <w:rPr>
                <w:rFonts w:cs="Times"/>
                <w:noProof/>
                <w:sz w:val="22"/>
                <w:szCs w:val="22"/>
              </w:rPr>
              <w:t xml:space="preserve">[3] </w:t>
            </w:r>
          </w:p>
        </w:tc>
        <w:tc>
          <w:tcPr>
            <w:tcW w:w="0" w:type="auto"/>
            <w:hideMark/>
          </w:tcPr>
          <w:p w:rsidR="000201E4" w:rsidRPr="00FF08B2" w:rsidRDefault="000201E4" w:rsidP="000201E4">
            <w:pPr>
              <w:spacing w:line="360" w:lineRule="auto"/>
              <w:ind w:firstLine="0"/>
              <w:rPr>
                <w:rFonts w:cs="Times"/>
                <w:sz w:val="22"/>
                <w:szCs w:val="22"/>
              </w:rPr>
            </w:pPr>
            <w:r w:rsidRPr="00FF08B2">
              <w:rPr>
                <w:rFonts w:cs="Times"/>
                <w:sz w:val="22"/>
                <w:szCs w:val="22"/>
              </w:rPr>
              <w:t xml:space="preserve">Hari, A. </w:t>
            </w:r>
            <w:r w:rsidRPr="00FF08B2">
              <w:rPr>
                <w:rFonts w:cs="Times"/>
                <w:sz w:val="22"/>
                <w:szCs w:val="22"/>
                <w:u w:val="single"/>
              </w:rPr>
              <w:t>The Internet Blockchain: A Distributed, Tamper-Resistant Transaction Framework for the Internet. Proceeding</w:t>
            </w:r>
            <w:r w:rsidRPr="00FF08B2">
              <w:rPr>
                <w:rFonts w:cs="Times"/>
                <w:sz w:val="22"/>
                <w:szCs w:val="22"/>
              </w:rPr>
              <w:t>. HotNets '16 Proceedings of the 15th ACM Workshop on Hot, 2016.</w:t>
            </w:r>
          </w:p>
        </w:tc>
      </w:tr>
      <w:tr w:rsidR="000201E4" w:rsidRPr="00FF08B2" w:rsidTr="00D41E0B">
        <w:trPr>
          <w:tblCellSpacing w:w="15" w:type="dxa"/>
        </w:trPr>
        <w:tc>
          <w:tcPr>
            <w:tcW w:w="263" w:type="pct"/>
            <w:hideMark/>
          </w:tcPr>
          <w:p w:rsidR="000201E4" w:rsidRPr="00FF08B2" w:rsidRDefault="00BA665E" w:rsidP="000201E4">
            <w:pPr>
              <w:pStyle w:val="Bibliography"/>
              <w:ind w:firstLine="0"/>
              <w:rPr>
                <w:rFonts w:cs="Times"/>
                <w:noProof/>
                <w:sz w:val="22"/>
                <w:szCs w:val="22"/>
              </w:rPr>
            </w:pPr>
            <w:r w:rsidRPr="00FF08B2">
              <w:rPr>
                <w:rFonts w:cs="Times"/>
                <w:noProof/>
                <w:sz w:val="22"/>
                <w:szCs w:val="22"/>
              </w:rPr>
              <w:t>[4</w:t>
            </w:r>
            <w:r w:rsidR="000201E4" w:rsidRPr="00FF08B2">
              <w:rPr>
                <w:rFonts w:cs="Times"/>
                <w:noProof/>
                <w:sz w:val="22"/>
                <w:szCs w:val="22"/>
              </w:rPr>
              <w:t xml:space="preserve">] </w:t>
            </w:r>
          </w:p>
        </w:tc>
        <w:tc>
          <w:tcPr>
            <w:tcW w:w="0" w:type="auto"/>
            <w:hideMark/>
          </w:tcPr>
          <w:p w:rsidR="000201E4" w:rsidRPr="00FF08B2" w:rsidRDefault="000201E4" w:rsidP="000201E4">
            <w:pPr>
              <w:spacing w:line="360" w:lineRule="auto"/>
              <w:ind w:firstLine="0"/>
              <w:rPr>
                <w:rFonts w:cs="Times"/>
                <w:sz w:val="22"/>
                <w:szCs w:val="22"/>
              </w:rPr>
            </w:pPr>
            <w:r w:rsidRPr="00FF08B2">
              <w:rPr>
                <w:rFonts w:cs="Times"/>
                <w:sz w:val="22"/>
                <w:szCs w:val="22"/>
              </w:rPr>
              <w:t xml:space="preserve">Cambridge Dictionary. </w:t>
            </w:r>
            <w:r w:rsidRPr="00FF08B2">
              <w:rPr>
                <w:rFonts w:cs="Times"/>
                <w:sz w:val="22"/>
                <w:szCs w:val="22"/>
                <w:u w:val="single"/>
              </w:rPr>
              <w:t>Definition of Identity</w:t>
            </w:r>
            <w:r w:rsidRPr="00FF08B2">
              <w:rPr>
                <w:rFonts w:cs="Times"/>
                <w:sz w:val="22"/>
                <w:szCs w:val="22"/>
              </w:rPr>
              <w:t>. Retrieved From http://dictionary.cambridge.org/es/diccionario/ingles/identity</w:t>
            </w:r>
          </w:p>
        </w:tc>
      </w:tr>
      <w:tr w:rsidR="000201E4" w:rsidRPr="00FF08B2" w:rsidTr="00D41E0B">
        <w:trPr>
          <w:tblCellSpacing w:w="15" w:type="dxa"/>
        </w:trPr>
        <w:tc>
          <w:tcPr>
            <w:tcW w:w="263" w:type="pct"/>
            <w:hideMark/>
          </w:tcPr>
          <w:p w:rsidR="000201E4" w:rsidRPr="00FF08B2" w:rsidRDefault="00BA665E" w:rsidP="000201E4">
            <w:pPr>
              <w:pStyle w:val="Bibliography"/>
              <w:ind w:firstLine="0"/>
              <w:rPr>
                <w:rFonts w:cs="Times"/>
                <w:noProof/>
                <w:sz w:val="22"/>
                <w:szCs w:val="22"/>
              </w:rPr>
            </w:pPr>
            <w:r w:rsidRPr="00FF08B2">
              <w:rPr>
                <w:rFonts w:cs="Times"/>
                <w:noProof/>
                <w:sz w:val="22"/>
                <w:szCs w:val="22"/>
              </w:rPr>
              <w:t>[5</w:t>
            </w:r>
            <w:r w:rsidR="000201E4" w:rsidRPr="00FF08B2">
              <w:rPr>
                <w:rFonts w:cs="Times"/>
                <w:noProof/>
                <w:sz w:val="22"/>
                <w:szCs w:val="22"/>
              </w:rPr>
              <w:t xml:space="preserve">] </w:t>
            </w:r>
          </w:p>
        </w:tc>
        <w:tc>
          <w:tcPr>
            <w:tcW w:w="0" w:type="auto"/>
          </w:tcPr>
          <w:p w:rsidR="000201E4" w:rsidRPr="00FF08B2" w:rsidRDefault="00BA665E" w:rsidP="00BA665E">
            <w:pPr>
              <w:spacing w:line="360" w:lineRule="auto"/>
              <w:ind w:firstLine="0"/>
              <w:rPr>
                <w:rFonts w:cs="Times"/>
                <w:sz w:val="22"/>
                <w:szCs w:val="22"/>
              </w:rPr>
            </w:pPr>
            <w:r w:rsidRPr="00EF6464">
              <w:rPr>
                <w:rFonts w:cs="Times"/>
                <w:sz w:val="22"/>
                <w:szCs w:val="22"/>
                <w:lang w:val="es-MX"/>
              </w:rPr>
              <w:t>Somerville</w:t>
            </w:r>
            <w:r w:rsidR="000201E4" w:rsidRPr="00EF6464">
              <w:rPr>
                <w:rFonts w:cs="Times"/>
                <w:sz w:val="22"/>
                <w:szCs w:val="22"/>
                <w:lang w:val="es-MX"/>
              </w:rPr>
              <w:t>,</w:t>
            </w:r>
            <w:r w:rsidRPr="00EF6464">
              <w:rPr>
                <w:rFonts w:cs="Times"/>
                <w:sz w:val="22"/>
                <w:szCs w:val="22"/>
                <w:lang w:val="es-MX"/>
              </w:rPr>
              <w:t xml:space="preserve"> I</w:t>
            </w:r>
            <w:r w:rsidR="000201E4" w:rsidRPr="00EF6464">
              <w:rPr>
                <w:rFonts w:cs="Times"/>
                <w:sz w:val="22"/>
                <w:szCs w:val="22"/>
                <w:lang w:val="es-MX"/>
              </w:rPr>
              <w:t xml:space="preserve">. </w:t>
            </w:r>
            <w:r w:rsidRPr="00EF6464">
              <w:rPr>
                <w:rFonts w:cs="Times"/>
                <w:sz w:val="22"/>
                <w:szCs w:val="22"/>
                <w:u w:val="single"/>
                <w:lang w:val="es-MX"/>
              </w:rPr>
              <w:t>Ingeniería del Software</w:t>
            </w:r>
            <w:r w:rsidRPr="00EF6464">
              <w:rPr>
                <w:rFonts w:cs="Times"/>
                <w:sz w:val="22"/>
                <w:szCs w:val="22"/>
                <w:lang w:val="es-MX"/>
              </w:rPr>
              <w:t xml:space="preserve">. </w:t>
            </w:r>
            <w:r w:rsidRPr="00FF08B2">
              <w:rPr>
                <w:rFonts w:cs="Times"/>
                <w:sz w:val="22"/>
                <w:szCs w:val="22"/>
              </w:rPr>
              <w:t>Pearson: 2006.</w:t>
            </w:r>
          </w:p>
        </w:tc>
      </w:tr>
      <w:tr w:rsidR="000201E4" w:rsidRPr="00B735C0" w:rsidTr="00D41E0B">
        <w:trPr>
          <w:tblCellSpacing w:w="15" w:type="dxa"/>
        </w:trPr>
        <w:tc>
          <w:tcPr>
            <w:tcW w:w="263" w:type="pct"/>
            <w:hideMark/>
          </w:tcPr>
          <w:p w:rsidR="000201E4" w:rsidRPr="00FF08B2" w:rsidRDefault="00780633" w:rsidP="000201E4">
            <w:pPr>
              <w:pStyle w:val="Bibliography"/>
              <w:ind w:firstLine="0"/>
              <w:rPr>
                <w:rFonts w:cs="Times"/>
                <w:noProof/>
                <w:sz w:val="22"/>
                <w:szCs w:val="22"/>
              </w:rPr>
            </w:pPr>
            <w:r>
              <w:rPr>
                <w:rFonts w:cs="Times"/>
                <w:noProof/>
                <w:sz w:val="22"/>
                <w:szCs w:val="22"/>
              </w:rPr>
              <w:t>[6</w:t>
            </w:r>
            <w:r w:rsidR="000201E4" w:rsidRPr="00FF08B2">
              <w:rPr>
                <w:rFonts w:cs="Times"/>
                <w:noProof/>
                <w:sz w:val="22"/>
                <w:szCs w:val="22"/>
              </w:rPr>
              <w:t xml:space="preserve">] </w:t>
            </w:r>
          </w:p>
        </w:tc>
        <w:tc>
          <w:tcPr>
            <w:tcW w:w="0" w:type="auto"/>
            <w:hideMark/>
          </w:tcPr>
          <w:p w:rsidR="000201E4" w:rsidRPr="00EF6464" w:rsidRDefault="00695286" w:rsidP="00695286">
            <w:pPr>
              <w:spacing w:line="360" w:lineRule="auto"/>
              <w:ind w:firstLine="0"/>
              <w:rPr>
                <w:rFonts w:cs="Times"/>
                <w:sz w:val="22"/>
                <w:szCs w:val="22"/>
                <w:lang w:val="es-MX"/>
              </w:rPr>
            </w:pPr>
            <w:r w:rsidRPr="00EF6464">
              <w:rPr>
                <w:rFonts w:cs="Times"/>
                <w:sz w:val="22"/>
                <w:szCs w:val="22"/>
                <w:lang w:val="es-MX"/>
              </w:rPr>
              <w:t>González, M. L</w:t>
            </w:r>
            <w:r w:rsidRPr="00EF6464">
              <w:rPr>
                <w:rFonts w:cs="Times"/>
                <w:sz w:val="22"/>
                <w:szCs w:val="22"/>
                <w:u w:val="single"/>
                <w:lang w:val="es-MX"/>
              </w:rPr>
              <w:t>a gran inseguridad del internet de las cosas, la culpable del ataque DDoS qué noqueó la web</w:t>
            </w:r>
            <w:r w:rsidRPr="00EF6464">
              <w:rPr>
                <w:rFonts w:cs="Times"/>
                <w:sz w:val="22"/>
                <w:szCs w:val="22"/>
                <w:lang w:val="es-MX"/>
              </w:rPr>
              <w:t>.</w:t>
            </w:r>
            <w:r w:rsidR="00455894" w:rsidRPr="00EF6464">
              <w:rPr>
                <w:rFonts w:cs="Times"/>
                <w:sz w:val="22"/>
                <w:szCs w:val="22"/>
                <w:lang w:val="es-MX"/>
              </w:rPr>
              <w:t xml:space="preserve"> </w:t>
            </w:r>
            <w:r w:rsidRPr="00EF6464">
              <w:rPr>
                <w:rFonts w:cs="Times"/>
                <w:sz w:val="22"/>
                <w:szCs w:val="22"/>
                <w:lang w:val="es-MX"/>
              </w:rPr>
              <w:t>Recuperado de: https://www.xataka.com/servicios/los-responsables-del-ddos-a-dyn-usaron-camaras-ip-y-dvrs-para-tumbar-medio-internet</w:t>
            </w:r>
          </w:p>
        </w:tc>
      </w:tr>
      <w:tr w:rsidR="000201E4" w:rsidRPr="00B735C0" w:rsidTr="00780633">
        <w:trPr>
          <w:tblCellSpacing w:w="15" w:type="dxa"/>
        </w:trPr>
        <w:tc>
          <w:tcPr>
            <w:tcW w:w="287" w:type="pct"/>
            <w:hideMark/>
          </w:tcPr>
          <w:p w:rsidR="000201E4" w:rsidRPr="00FF08B2" w:rsidRDefault="00780633" w:rsidP="000201E4">
            <w:pPr>
              <w:pStyle w:val="Bibliography"/>
              <w:ind w:firstLine="0"/>
              <w:rPr>
                <w:rFonts w:cs="Times"/>
                <w:noProof/>
                <w:sz w:val="22"/>
                <w:szCs w:val="22"/>
              </w:rPr>
            </w:pPr>
            <w:r>
              <w:rPr>
                <w:rFonts w:cs="Times"/>
                <w:noProof/>
                <w:sz w:val="22"/>
                <w:szCs w:val="22"/>
              </w:rPr>
              <w:t>[7</w:t>
            </w:r>
            <w:r w:rsidR="000201E4" w:rsidRPr="00FF08B2">
              <w:rPr>
                <w:rFonts w:cs="Times"/>
                <w:noProof/>
                <w:sz w:val="22"/>
                <w:szCs w:val="22"/>
              </w:rPr>
              <w:t xml:space="preserve">] </w:t>
            </w:r>
          </w:p>
        </w:tc>
        <w:tc>
          <w:tcPr>
            <w:tcW w:w="0" w:type="auto"/>
            <w:hideMark/>
          </w:tcPr>
          <w:p w:rsidR="000201E4" w:rsidRPr="00EF6464" w:rsidRDefault="00512F41" w:rsidP="00512F41">
            <w:pPr>
              <w:spacing w:line="360" w:lineRule="auto"/>
              <w:ind w:firstLine="0"/>
              <w:rPr>
                <w:rFonts w:cs="Times"/>
                <w:sz w:val="22"/>
                <w:szCs w:val="22"/>
                <w:lang w:val="es-MX"/>
              </w:rPr>
            </w:pPr>
            <w:r w:rsidRPr="00EF6464">
              <w:rPr>
                <w:rFonts w:cs="Times"/>
                <w:sz w:val="22"/>
                <w:szCs w:val="22"/>
                <w:lang w:val="es-MX"/>
              </w:rPr>
              <w:t xml:space="preserve">Ramiro, R. </w:t>
            </w:r>
            <w:r w:rsidRPr="00EF6464">
              <w:rPr>
                <w:rFonts w:cs="Times"/>
                <w:sz w:val="22"/>
                <w:szCs w:val="22"/>
                <w:u w:val="single"/>
                <w:lang w:val="es-MX"/>
              </w:rPr>
              <w:t>Gestion de identidades y accesos, Blockchain</w:t>
            </w:r>
            <w:r w:rsidRPr="00EF6464">
              <w:rPr>
                <w:rFonts w:cs="Times"/>
                <w:sz w:val="22"/>
                <w:szCs w:val="22"/>
                <w:lang w:val="es-MX"/>
              </w:rPr>
              <w:t xml:space="preserve">. Recuperado de: https://ciberseguridad.blog/blockchain-para-la-autenticacion-y-verificacion-de-nuestra-identidad/ </w:t>
            </w:r>
          </w:p>
        </w:tc>
      </w:tr>
      <w:tr w:rsidR="000201E4" w:rsidRPr="00FF08B2" w:rsidTr="00780633">
        <w:trPr>
          <w:tblCellSpacing w:w="15" w:type="dxa"/>
        </w:trPr>
        <w:tc>
          <w:tcPr>
            <w:tcW w:w="287" w:type="pct"/>
          </w:tcPr>
          <w:p w:rsidR="000201E4" w:rsidRPr="00FF08B2" w:rsidRDefault="00780633" w:rsidP="000201E4">
            <w:pPr>
              <w:pStyle w:val="Bibliography"/>
              <w:ind w:firstLine="0"/>
              <w:rPr>
                <w:rFonts w:cs="Times"/>
                <w:noProof/>
                <w:sz w:val="22"/>
                <w:szCs w:val="22"/>
              </w:rPr>
            </w:pPr>
            <w:r>
              <w:rPr>
                <w:rFonts w:cs="Times"/>
                <w:noProof/>
                <w:sz w:val="22"/>
                <w:szCs w:val="22"/>
              </w:rPr>
              <w:t>[8</w:t>
            </w:r>
            <w:r w:rsidR="000201E4" w:rsidRPr="00FF08B2">
              <w:rPr>
                <w:rFonts w:cs="Times"/>
                <w:noProof/>
                <w:sz w:val="22"/>
                <w:szCs w:val="22"/>
              </w:rPr>
              <w:t>]</w:t>
            </w:r>
          </w:p>
        </w:tc>
        <w:tc>
          <w:tcPr>
            <w:tcW w:w="0" w:type="auto"/>
          </w:tcPr>
          <w:p w:rsidR="000201E4" w:rsidRPr="00FF08B2" w:rsidRDefault="00FF08B2" w:rsidP="000201E4">
            <w:pPr>
              <w:spacing w:line="360" w:lineRule="auto"/>
              <w:ind w:firstLine="0"/>
              <w:rPr>
                <w:rFonts w:cs="Times"/>
                <w:sz w:val="22"/>
                <w:szCs w:val="22"/>
              </w:rPr>
            </w:pPr>
            <w:r w:rsidRPr="00FF08B2">
              <w:rPr>
                <w:rFonts w:cs="Times"/>
                <w:sz w:val="22"/>
                <w:szCs w:val="22"/>
              </w:rPr>
              <w:t xml:space="preserve">Ambler, S. </w:t>
            </w:r>
            <w:r w:rsidRPr="00455894">
              <w:rPr>
                <w:rFonts w:cs="Times"/>
                <w:sz w:val="22"/>
                <w:szCs w:val="22"/>
                <w:u w:val="single"/>
              </w:rPr>
              <w:t>Disciplined Agile Delivery: A Practitioner’s Guide to Agile Software Delivery in the Enterprise.</w:t>
            </w:r>
            <w:r w:rsidRPr="00FF08B2">
              <w:rPr>
                <w:rFonts w:cs="Times"/>
                <w:sz w:val="22"/>
                <w:szCs w:val="22"/>
              </w:rPr>
              <w:t xml:space="preserve"> IBM Press: 2012.</w:t>
            </w:r>
          </w:p>
        </w:tc>
      </w:tr>
      <w:tr w:rsidR="000201E4" w:rsidRPr="00FF08B2" w:rsidTr="00780633">
        <w:trPr>
          <w:tblCellSpacing w:w="15" w:type="dxa"/>
        </w:trPr>
        <w:tc>
          <w:tcPr>
            <w:tcW w:w="287" w:type="pct"/>
          </w:tcPr>
          <w:p w:rsidR="000201E4" w:rsidRPr="00FF08B2" w:rsidRDefault="00780633" w:rsidP="000201E4">
            <w:pPr>
              <w:pStyle w:val="Bibliography"/>
              <w:ind w:firstLine="0"/>
              <w:rPr>
                <w:rFonts w:cs="Times"/>
                <w:noProof/>
                <w:sz w:val="22"/>
                <w:szCs w:val="22"/>
              </w:rPr>
            </w:pPr>
            <w:r>
              <w:rPr>
                <w:rFonts w:cs="Times"/>
                <w:noProof/>
                <w:sz w:val="22"/>
                <w:szCs w:val="22"/>
              </w:rPr>
              <w:t>[9</w:t>
            </w:r>
            <w:r w:rsidR="000201E4" w:rsidRPr="00FF08B2">
              <w:rPr>
                <w:rFonts w:cs="Times"/>
                <w:noProof/>
                <w:sz w:val="22"/>
                <w:szCs w:val="22"/>
              </w:rPr>
              <w:t>]</w:t>
            </w:r>
          </w:p>
        </w:tc>
        <w:tc>
          <w:tcPr>
            <w:tcW w:w="0" w:type="auto"/>
          </w:tcPr>
          <w:p w:rsidR="000201E4" w:rsidRPr="00FF08B2" w:rsidRDefault="00FF08B2" w:rsidP="00695286">
            <w:pPr>
              <w:spacing w:line="360" w:lineRule="auto"/>
              <w:ind w:firstLine="0"/>
              <w:rPr>
                <w:rFonts w:cs="Times"/>
                <w:sz w:val="22"/>
                <w:szCs w:val="22"/>
              </w:rPr>
            </w:pPr>
            <w:r w:rsidRPr="00FF08B2">
              <w:rPr>
                <w:rFonts w:cs="Times"/>
                <w:sz w:val="22"/>
                <w:szCs w:val="22"/>
              </w:rPr>
              <w:t xml:space="preserve">Chrissis, M. </w:t>
            </w:r>
            <w:r w:rsidRPr="00455894">
              <w:rPr>
                <w:rFonts w:cs="Times"/>
                <w:sz w:val="22"/>
                <w:szCs w:val="22"/>
                <w:u w:val="single"/>
              </w:rPr>
              <w:t>CMMI Guidelines for Process Integration and Product Improvement</w:t>
            </w:r>
            <w:r w:rsidRPr="00FF08B2">
              <w:rPr>
                <w:rFonts w:cs="Times"/>
                <w:sz w:val="22"/>
                <w:szCs w:val="22"/>
              </w:rPr>
              <w:t>. Addison-Wesley: 2007</w:t>
            </w:r>
          </w:p>
        </w:tc>
      </w:tr>
      <w:tr w:rsidR="00455894" w:rsidRPr="00B735C0" w:rsidTr="00780633">
        <w:trPr>
          <w:tblCellSpacing w:w="15" w:type="dxa"/>
        </w:trPr>
        <w:tc>
          <w:tcPr>
            <w:tcW w:w="287" w:type="pct"/>
          </w:tcPr>
          <w:p w:rsidR="00455894" w:rsidRPr="00780633" w:rsidRDefault="00455894" w:rsidP="000201E4">
            <w:pPr>
              <w:pStyle w:val="Bibliography"/>
              <w:ind w:firstLine="0"/>
              <w:rPr>
                <w:rFonts w:cs="Times"/>
                <w:noProof/>
                <w:sz w:val="22"/>
                <w:szCs w:val="22"/>
              </w:rPr>
            </w:pPr>
            <w:r w:rsidRPr="00780633">
              <w:rPr>
                <w:rFonts w:cs="Times"/>
                <w:noProof/>
                <w:sz w:val="22"/>
                <w:szCs w:val="22"/>
              </w:rPr>
              <w:t>[</w:t>
            </w:r>
            <w:r w:rsidR="00780633" w:rsidRPr="00780633">
              <w:rPr>
                <w:rFonts w:cs="Times"/>
                <w:noProof/>
                <w:sz w:val="22"/>
                <w:szCs w:val="22"/>
              </w:rPr>
              <w:t>10</w:t>
            </w:r>
            <w:r w:rsidRPr="00780633">
              <w:rPr>
                <w:rFonts w:cs="Times"/>
                <w:noProof/>
                <w:sz w:val="22"/>
                <w:szCs w:val="22"/>
              </w:rPr>
              <w:t>]</w:t>
            </w:r>
          </w:p>
        </w:tc>
        <w:tc>
          <w:tcPr>
            <w:tcW w:w="0" w:type="auto"/>
          </w:tcPr>
          <w:p w:rsidR="00455894" w:rsidRPr="00EF6464" w:rsidRDefault="00455894" w:rsidP="00455894">
            <w:pPr>
              <w:spacing w:line="360" w:lineRule="auto"/>
              <w:ind w:firstLine="0"/>
              <w:rPr>
                <w:rFonts w:cs="Times"/>
                <w:sz w:val="22"/>
                <w:szCs w:val="22"/>
                <w:lang w:val="es-MX"/>
              </w:rPr>
            </w:pPr>
            <w:r w:rsidRPr="00EF6464">
              <w:rPr>
                <w:rFonts w:cs="Times"/>
                <w:color w:val="000000"/>
                <w:sz w:val="22"/>
                <w:szCs w:val="22"/>
                <w:lang w:val="es-MX"/>
              </w:rPr>
              <w:t xml:space="preserve">Unicon. </w:t>
            </w:r>
            <w:r w:rsidRPr="00EF6464">
              <w:rPr>
                <w:rFonts w:cs="Times"/>
                <w:color w:val="000000"/>
                <w:sz w:val="22"/>
                <w:szCs w:val="22"/>
                <w:u w:val="single"/>
                <w:lang w:val="es-MX"/>
              </w:rPr>
              <w:t>Central Authentication Service (C.A.S.).</w:t>
            </w:r>
            <w:r w:rsidRPr="00EF6464">
              <w:rPr>
                <w:rFonts w:cs="Times"/>
                <w:color w:val="000000"/>
                <w:sz w:val="22"/>
                <w:szCs w:val="22"/>
                <w:lang w:val="es-MX"/>
              </w:rPr>
              <w:t xml:space="preserve"> Recuperado de  https://www.unicon.net/opensource/cas</w:t>
            </w:r>
            <w:r w:rsidRPr="00EF6464">
              <w:rPr>
                <w:rFonts w:cs="Times"/>
                <w:sz w:val="22"/>
                <w:szCs w:val="22"/>
                <w:lang w:val="es-MX"/>
              </w:rPr>
              <w:t xml:space="preserve"> </w:t>
            </w:r>
          </w:p>
        </w:tc>
      </w:tr>
    </w:tbl>
    <w:p w:rsidR="00BF2A87" w:rsidRPr="00A35284" w:rsidRDefault="00A35284" w:rsidP="00FF08B2">
      <w:pPr>
        <w:ind w:firstLine="0"/>
        <w:rPr>
          <w:lang w:val="es-MX"/>
        </w:rPr>
      </w:pPr>
      <w:r w:rsidRPr="00DE02C9">
        <w:fldChar w:fldCharType="end"/>
      </w:r>
    </w:p>
    <w:sectPr w:rsidR="00BF2A87" w:rsidRPr="00A35284" w:rsidSect="00034B0F">
      <w:pgSz w:w="11907" w:h="16840" w:code="9"/>
      <w:pgMar w:top="2948" w:right="2495" w:bottom="2948" w:left="2495" w:header="2381" w:footer="1389" w:gutter="0"/>
      <w:cols w:space="720"/>
      <w:noEndnote/>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B1B91"/>
    <w:multiLevelType w:val="hybridMultilevel"/>
    <w:tmpl w:val="65A28DEE"/>
    <w:lvl w:ilvl="0" w:tplc="0C0A0001">
      <w:start w:val="1"/>
      <w:numFmt w:val="bullet"/>
      <w:lvlText w:val=""/>
      <w:lvlJc w:val="left"/>
      <w:pPr>
        <w:ind w:left="947" w:hanging="360"/>
      </w:pPr>
      <w:rPr>
        <w:rFonts w:ascii="Symbol" w:hAnsi="Symbol" w:hint="default"/>
      </w:rPr>
    </w:lvl>
    <w:lvl w:ilvl="1" w:tplc="0C0A0003" w:tentative="1">
      <w:start w:val="1"/>
      <w:numFmt w:val="bullet"/>
      <w:lvlText w:val="o"/>
      <w:lvlJc w:val="left"/>
      <w:pPr>
        <w:ind w:left="1667" w:hanging="360"/>
      </w:pPr>
      <w:rPr>
        <w:rFonts w:ascii="Courier New" w:hAnsi="Courier New" w:cs="Courier New" w:hint="default"/>
      </w:rPr>
    </w:lvl>
    <w:lvl w:ilvl="2" w:tplc="0C0A0005" w:tentative="1">
      <w:start w:val="1"/>
      <w:numFmt w:val="bullet"/>
      <w:lvlText w:val=""/>
      <w:lvlJc w:val="left"/>
      <w:pPr>
        <w:ind w:left="2387" w:hanging="360"/>
      </w:pPr>
      <w:rPr>
        <w:rFonts w:ascii="Wingdings" w:hAnsi="Wingdings" w:hint="default"/>
      </w:rPr>
    </w:lvl>
    <w:lvl w:ilvl="3" w:tplc="0C0A0001" w:tentative="1">
      <w:start w:val="1"/>
      <w:numFmt w:val="bullet"/>
      <w:lvlText w:val=""/>
      <w:lvlJc w:val="left"/>
      <w:pPr>
        <w:ind w:left="3107" w:hanging="360"/>
      </w:pPr>
      <w:rPr>
        <w:rFonts w:ascii="Symbol" w:hAnsi="Symbol" w:hint="default"/>
      </w:rPr>
    </w:lvl>
    <w:lvl w:ilvl="4" w:tplc="0C0A0003" w:tentative="1">
      <w:start w:val="1"/>
      <w:numFmt w:val="bullet"/>
      <w:lvlText w:val="o"/>
      <w:lvlJc w:val="left"/>
      <w:pPr>
        <w:ind w:left="3827" w:hanging="360"/>
      </w:pPr>
      <w:rPr>
        <w:rFonts w:ascii="Courier New" w:hAnsi="Courier New" w:cs="Courier New" w:hint="default"/>
      </w:rPr>
    </w:lvl>
    <w:lvl w:ilvl="5" w:tplc="0C0A0005" w:tentative="1">
      <w:start w:val="1"/>
      <w:numFmt w:val="bullet"/>
      <w:lvlText w:val=""/>
      <w:lvlJc w:val="left"/>
      <w:pPr>
        <w:ind w:left="4547" w:hanging="360"/>
      </w:pPr>
      <w:rPr>
        <w:rFonts w:ascii="Wingdings" w:hAnsi="Wingdings" w:hint="default"/>
      </w:rPr>
    </w:lvl>
    <w:lvl w:ilvl="6" w:tplc="0C0A0001" w:tentative="1">
      <w:start w:val="1"/>
      <w:numFmt w:val="bullet"/>
      <w:lvlText w:val=""/>
      <w:lvlJc w:val="left"/>
      <w:pPr>
        <w:ind w:left="5267" w:hanging="360"/>
      </w:pPr>
      <w:rPr>
        <w:rFonts w:ascii="Symbol" w:hAnsi="Symbol" w:hint="default"/>
      </w:rPr>
    </w:lvl>
    <w:lvl w:ilvl="7" w:tplc="0C0A0003" w:tentative="1">
      <w:start w:val="1"/>
      <w:numFmt w:val="bullet"/>
      <w:lvlText w:val="o"/>
      <w:lvlJc w:val="left"/>
      <w:pPr>
        <w:ind w:left="5987" w:hanging="360"/>
      </w:pPr>
      <w:rPr>
        <w:rFonts w:ascii="Courier New" w:hAnsi="Courier New" w:cs="Courier New" w:hint="default"/>
      </w:rPr>
    </w:lvl>
    <w:lvl w:ilvl="8" w:tplc="0C0A0005" w:tentative="1">
      <w:start w:val="1"/>
      <w:numFmt w:val="bullet"/>
      <w:lvlText w:val=""/>
      <w:lvlJc w:val="left"/>
      <w:pPr>
        <w:ind w:left="6707" w:hanging="360"/>
      </w:pPr>
      <w:rPr>
        <w:rFonts w:ascii="Wingdings" w:hAnsi="Wingdings" w:hint="default"/>
      </w:rPr>
    </w:lvl>
  </w:abstractNum>
  <w:abstractNum w:abstractNumId="1" w15:restartNumberingAfterBreak="0">
    <w:nsid w:val="07E76626"/>
    <w:multiLevelType w:val="hybridMultilevel"/>
    <w:tmpl w:val="A60A795C"/>
    <w:lvl w:ilvl="0" w:tplc="939E76F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C4B0E47"/>
    <w:multiLevelType w:val="hybridMultilevel"/>
    <w:tmpl w:val="65DE4F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BB97574"/>
    <w:multiLevelType w:val="hybridMultilevel"/>
    <w:tmpl w:val="82D48F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5A21D51"/>
    <w:multiLevelType w:val="hybridMultilevel"/>
    <w:tmpl w:val="AF422BF6"/>
    <w:lvl w:ilvl="0" w:tplc="0C0A0001">
      <w:start w:val="1"/>
      <w:numFmt w:val="bullet"/>
      <w:lvlText w:val=""/>
      <w:lvlJc w:val="left"/>
      <w:pPr>
        <w:ind w:left="947" w:hanging="360"/>
      </w:pPr>
      <w:rPr>
        <w:rFonts w:ascii="Symbol" w:hAnsi="Symbol" w:hint="default"/>
      </w:rPr>
    </w:lvl>
    <w:lvl w:ilvl="1" w:tplc="0C0A0003" w:tentative="1">
      <w:start w:val="1"/>
      <w:numFmt w:val="bullet"/>
      <w:lvlText w:val="o"/>
      <w:lvlJc w:val="left"/>
      <w:pPr>
        <w:ind w:left="1667" w:hanging="360"/>
      </w:pPr>
      <w:rPr>
        <w:rFonts w:ascii="Courier New" w:hAnsi="Courier New" w:cs="Courier New" w:hint="default"/>
      </w:rPr>
    </w:lvl>
    <w:lvl w:ilvl="2" w:tplc="0C0A0005" w:tentative="1">
      <w:start w:val="1"/>
      <w:numFmt w:val="bullet"/>
      <w:lvlText w:val=""/>
      <w:lvlJc w:val="left"/>
      <w:pPr>
        <w:ind w:left="2387" w:hanging="360"/>
      </w:pPr>
      <w:rPr>
        <w:rFonts w:ascii="Wingdings" w:hAnsi="Wingdings" w:hint="default"/>
      </w:rPr>
    </w:lvl>
    <w:lvl w:ilvl="3" w:tplc="0C0A0001" w:tentative="1">
      <w:start w:val="1"/>
      <w:numFmt w:val="bullet"/>
      <w:lvlText w:val=""/>
      <w:lvlJc w:val="left"/>
      <w:pPr>
        <w:ind w:left="3107" w:hanging="360"/>
      </w:pPr>
      <w:rPr>
        <w:rFonts w:ascii="Symbol" w:hAnsi="Symbol" w:hint="default"/>
      </w:rPr>
    </w:lvl>
    <w:lvl w:ilvl="4" w:tplc="0C0A0003" w:tentative="1">
      <w:start w:val="1"/>
      <w:numFmt w:val="bullet"/>
      <w:lvlText w:val="o"/>
      <w:lvlJc w:val="left"/>
      <w:pPr>
        <w:ind w:left="3827" w:hanging="360"/>
      </w:pPr>
      <w:rPr>
        <w:rFonts w:ascii="Courier New" w:hAnsi="Courier New" w:cs="Courier New" w:hint="default"/>
      </w:rPr>
    </w:lvl>
    <w:lvl w:ilvl="5" w:tplc="0C0A0005" w:tentative="1">
      <w:start w:val="1"/>
      <w:numFmt w:val="bullet"/>
      <w:lvlText w:val=""/>
      <w:lvlJc w:val="left"/>
      <w:pPr>
        <w:ind w:left="4547" w:hanging="360"/>
      </w:pPr>
      <w:rPr>
        <w:rFonts w:ascii="Wingdings" w:hAnsi="Wingdings" w:hint="default"/>
      </w:rPr>
    </w:lvl>
    <w:lvl w:ilvl="6" w:tplc="0C0A0001" w:tentative="1">
      <w:start w:val="1"/>
      <w:numFmt w:val="bullet"/>
      <w:lvlText w:val=""/>
      <w:lvlJc w:val="left"/>
      <w:pPr>
        <w:ind w:left="5267" w:hanging="360"/>
      </w:pPr>
      <w:rPr>
        <w:rFonts w:ascii="Symbol" w:hAnsi="Symbol" w:hint="default"/>
      </w:rPr>
    </w:lvl>
    <w:lvl w:ilvl="7" w:tplc="0C0A0003" w:tentative="1">
      <w:start w:val="1"/>
      <w:numFmt w:val="bullet"/>
      <w:lvlText w:val="o"/>
      <w:lvlJc w:val="left"/>
      <w:pPr>
        <w:ind w:left="5987" w:hanging="360"/>
      </w:pPr>
      <w:rPr>
        <w:rFonts w:ascii="Courier New" w:hAnsi="Courier New" w:cs="Courier New" w:hint="default"/>
      </w:rPr>
    </w:lvl>
    <w:lvl w:ilvl="8" w:tplc="0C0A0005" w:tentative="1">
      <w:start w:val="1"/>
      <w:numFmt w:val="bullet"/>
      <w:lvlText w:val=""/>
      <w:lvlJc w:val="left"/>
      <w:pPr>
        <w:ind w:left="6707" w:hanging="360"/>
      </w:pPr>
      <w:rPr>
        <w:rFonts w:ascii="Wingdings" w:hAnsi="Wingdings" w:hint="default"/>
      </w:rPr>
    </w:lvl>
  </w:abstractNum>
  <w:abstractNum w:abstractNumId="5" w15:restartNumberingAfterBreak="0">
    <w:nsid w:val="59FA2171"/>
    <w:multiLevelType w:val="hybridMultilevel"/>
    <w:tmpl w:val="833E677C"/>
    <w:lvl w:ilvl="0" w:tplc="958CBAD8">
      <w:start w:val="6"/>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205D6D"/>
    <w:multiLevelType w:val="hybridMultilevel"/>
    <w:tmpl w:val="B4CEDD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2"/>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131078" w:nlCheck="1" w:checkStyle="0"/>
  <w:activeWritingStyle w:appName="MSWord" w:lang="en-US" w:vendorID="64" w:dllVersion="131078" w:nlCheck="1" w:checkStyle="0"/>
  <w:activeWritingStyle w:appName="MSWord" w:lang="es-ES" w:vendorID="64" w:dllVersion="131078" w:nlCheck="1" w:checkStyle="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291"/>
    <w:rsid w:val="000201E4"/>
    <w:rsid w:val="00023291"/>
    <w:rsid w:val="00023E23"/>
    <w:rsid w:val="00034051"/>
    <w:rsid w:val="000611F8"/>
    <w:rsid w:val="00087E6D"/>
    <w:rsid w:val="000A0BF1"/>
    <w:rsid w:val="000B2FF8"/>
    <w:rsid w:val="000E6B10"/>
    <w:rsid w:val="00173DA2"/>
    <w:rsid w:val="001A6E5C"/>
    <w:rsid w:val="001D711A"/>
    <w:rsid w:val="001E64AB"/>
    <w:rsid w:val="001E7BEC"/>
    <w:rsid w:val="0022596D"/>
    <w:rsid w:val="00245F61"/>
    <w:rsid w:val="0024644D"/>
    <w:rsid w:val="002966DD"/>
    <w:rsid w:val="002A4CBC"/>
    <w:rsid w:val="002D6AFE"/>
    <w:rsid w:val="00301A9A"/>
    <w:rsid w:val="00337A04"/>
    <w:rsid w:val="00345ECE"/>
    <w:rsid w:val="003566B8"/>
    <w:rsid w:val="00356A04"/>
    <w:rsid w:val="00365073"/>
    <w:rsid w:val="00372130"/>
    <w:rsid w:val="003D1CA3"/>
    <w:rsid w:val="003E17BC"/>
    <w:rsid w:val="003E2ED0"/>
    <w:rsid w:val="004319B0"/>
    <w:rsid w:val="00455894"/>
    <w:rsid w:val="00470934"/>
    <w:rsid w:val="004A0768"/>
    <w:rsid w:val="004B6D8C"/>
    <w:rsid w:val="004B6DCF"/>
    <w:rsid w:val="004C5721"/>
    <w:rsid w:val="005021BE"/>
    <w:rsid w:val="00512F41"/>
    <w:rsid w:val="00525066"/>
    <w:rsid w:val="00526E6E"/>
    <w:rsid w:val="0054646B"/>
    <w:rsid w:val="005D52CE"/>
    <w:rsid w:val="005E59D1"/>
    <w:rsid w:val="005E5A63"/>
    <w:rsid w:val="005F386D"/>
    <w:rsid w:val="005F3CF7"/>
    <w:rsid w:val="006747A8"/>
    <w:rsid w:val="00695286"/>
    <w:rsid w:val="006A5845"/>
    <w:rsid w:val="006B5750"/>
    <w:rsid w:val="006C63B7"/>
    <w:rsid w:val="006F08E0"/>
    <w:rsid w:val="00701482"/>
    <w:rsid w:val="0073268E"/>
    <w:rsid w:val="00780633"/>
    <w:rsid w:val="00813715"/>
    <w:rsid w:val="008417CB"/>
    <w:rsid w:val="00842D6F"/>
    <w:rsid w:val="00862B22"/>
    <w:rsid w:val="00867301"/>
    <w:rsid w:val="00877630"/>
    <w:rsid w:val="00884234"/>
    <w:rsid w:val="008A42EF"/>
    <w:rsid w:val="008B5318"/>
    <w:rsid w:val="008E2ABF"/>
    <w:rsid w:val="00901971"/>
    <w:rsid w:val="0092319B"/>
    <w:rsid w:val="009409A4"/>
    <w:rsid w:val="00942DDC"/>
    <w:rsid w:val="00946E0F"/>
    <w:rsid w:val="009534FA"/>
    <w:rsid w:val="00954DDC"/>
    <w:rsid w:val="009B4B11"/>
    <w:rsid w:val="009D5412"/>
    <w:rsid w:val="00A06343"/>
    <w:rsid w:val="00A20880"/>
    <w:rsid w:val="00A35284"/>
    <w:rsid w:val="00A4009C"/>
    <w:rsid w:val="00AC3B1A"/>
    <w:rsid w:val="00B041F5"/>
    <w:rsid w:val="00B27891"/>
    <w:rsid w:val="00B324A8"/>
    <w:rsid w:val="00B735C0"/>
    <w:rsid w:val="00BA665E"/>
    <w:rsid w:val="00BC6CC6"/>
    <w:rsid w:val="00BF1A39"/>
    <w:rsid w:val="00BF2A87"/>
    <w:rsid w:val="00C16FE9"/>
    <w:rsid w:val="00C36D94"/>
    <w:rsid w:val="00C53A8C"/>
    <w:rsid w:val="00C97433"/>
    <w:rsid w:val="00D347DC"/>
    <w:rsid w:val="00D41E0B"/>
    <w:rsid w:val="00DA7796"/>
    <w:rsid w:val="00DF1577"/>
    <w:rsid w:val="00EF6464"/>
    <w:rsid w:val="00EF6FE7"/>
    <w:rsid w:val="00F03ED8"/>
    <w:rsid w:val="00F11766"/>
    <w:rsid w:val="00F60828"/>
    <w:rsid w:val="00FB4912"/>
    <w:rsid w:val="00FE7A4F"/>
    <w:rsid w:val="00FF08B2"/>
    <w:rsid w:val="00FF2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EAC53"/>
  <w15:chartTrackingRefBased/>
  <w15:docId w15:val="{730D4D77-4872-4745-93D5-6F14EB21C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3291"/>
    <w:pPr>
      <w:spacing w:after="0" w:line="240" w:lineRule="auto"/>
      <w:ind w:firstLine="227"/>
      <w:jc w:val="both"/>
    </w:pPr>
    <w:rPr>
      <w:rFonts w:ascii="Times" w:eastAsia="Times New Roman" w:hAnsi="Times" w:cs="Times New Roman"/>
      <w:sz w:val="20"/>
      <w:szCs w:val="20"/>
      <w:lang w:eastAsia="de-DE"/>
    </w:rPr>
  </w:style>
  <w:style w:type="paragraph" w:styleId="Heading1">
    <w:name w:val="heading 1"/>
    <w:basedOn w:val="Normal"/>
    <w:next w:val="Normal"/>
    <w:link w:val="Heading1Char"/>
    <w:uiPriority w:val="9"/>
    <w:qFormat/>
    <w:rsid w:val="00A35284"/>
    <w:pPr>
      <w:keepNext/>
      <w:keepLines/>
      <w:spacing w:before="240" w:line="259" w:lineRule="auto"/>
      <w:ind w:firstLine="0"/>
      <w:jc w:val="left"/>
      <w:outlineLvl w:val="0"/>
    </w:pPr>
    <w:rPr>
      <w:rFonts w:asciiTheme="majorHAnsi" w:eastAsiaTheme="majorEastAsia" w:hAnsiTheme="majorHAnsi" w:cstheme="majorBidi"/>
      <w:color w:val="2E74B5" w:themeColor="accent1" w:themeShade="BF"/>
      <w:sz w:val="32"/>
      <w:szCs w:val="32"/>
      <w:lang w:val="es-MX"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esto1">
    <w:name w:val="Puesto1"/>
    <w:basedOn w:val="Normal"/>
    <w:next w:val="author"/>
    <w:rsid w:val="00023291"/>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Normal"/>
    <w:rsid w:val="00023291"/>
    <w:pPr>
      <w:spacing w:after="220"/>
      <w:jc w:val="center"/>
    </w:pPr>
  </w:style>
  <w:style w:type="paragraph" w:customStyle="1" w:styleId="heading10">
    <w:name w:val="heading1"/>
    <w:basedOn w:val="Normal"/>
    <w:next w:val="p1a"/>
    <w:rsid w:val="00023291"/>
    <w:pPr>
      <w:keepNext/>
      <w:keepLines/>
      <w:tabs>
        <w:tab w:val="left" w:pos="454"/>
      </w:tabs>
      <w:suppressAutoHyphens/>
      <w:spacing w:before="520" w:after="280"/>
      <w:ind w:firstLine="0"/>
    </w:pPr>
    <w:rPr>
      <w:b/>
      <w:sz w:val="24"/>
    </w:rPr>
  </w:style>
  <w:style w:type="paragraph" w:customStyle="1" w:styleId="abstract">
    <w:name w:val="abstract"/>
    <w:basedOn w:val="p1a"/>
    <w:next w:val="heading10"/>
    <w:rsid w:val="00023291"/>
    <w:pPr>
      <w:spacing w:before="600" w:after="120"/>
      <w:ind w:left="567" w:right="567"/>
    </w:pPr>
    <w:rPr>
      <w:sz w:val="18"/>
    </w:rPr>
  </w:style>
  <w:style w:type="paragraph" w:customStyle="1" w:styleId="p1a">
    <w:name w:val="p1a"/>
    <w:basedOn w:val="Normal"/>
    <w:next w:val="Normal"/>
    <w:link w:val="p1aZchn"/>
    <w:rsid w:val="00023291"/>
    <w:pPr>
      <w:ind w:firstLine="0"/>
    </w:pPr>
  </w:style>
  <w:style w:type="character" w:customStyle="1" w:styleId="p1aZchn">
    <w:name w:val="p1a Zchn"/>
    <w:basedOn w:val="DefaultParagraphFont"/>
    <w:link w:val="p1a"/>
    <w:rsid w:val="00023291"/>
    <w:rPr>
      <w:rFonts w:ascii="Times" w:eastAsia="Times New Roman" w:hAnsi="Times" w:cs="Times New Roman"/>
      <w:sz w:val="20"/>
      <w:szCs w:val="20"/>
      <w:lang w:eastAsia="de-DE"/>
    </w:rPr>
  </w:style>
  <w:style w:type="paragraph" w:styleId="ListParagraph">
    <w:name w:val="List Paragraph"/>
    <w:basedOn w:val="Normal"/>
    <w:uiPriority w:val="34"/>
    <w:qFormat/>
    <w:rsid w:val="00023291"/>
    <w:pPr>
      <w:ind w:left="720"/>
      <w:contextualSpacing/>
    </w:pPr>
  </w:style>
  <w:style w:type="character" w:styleId="Hyperlink">
    <w:name w:val="Hyperlink"/>
    <w:basedOn w:val="DefaultParagraphFont"/>
    <w:uiPriority w:val="99"/>
    <w:unhideWhenUsed/>
    <w:rsid w:val="00BF2A87"/>
    <w:rPr>
      <w:color w:val="0563C1" w:themeColor="hyperlink"/>
      <w:u w:val="single"/>
    </w:rPr>
  </w:style>
  <w:style w:type="character" w:customStyle="1" w:styleId="Mention">
    <w:name w:val="Mention"/>
    <w:basedOn w:val="DefaultParagraphFont"/>
    <w:uiPriority w:val="99"/>
    <w:semiHidden/>
    <w:unhideWhenUsed/>
    <w:rsid w:val="00BF2A87"/>
    <w:rPr>
      <w:color w:val="2B579A"/>
      <w:shd w:val="clear" w:color="auto" w:fill="E6E6E6"/>
    </w:rPr>
  </w:style>
  <w:style w:type="character" w:customStyle="1" w:styleId="Heading1Char">
    <w:name w:val="Heading 1 Char"/>
    <w:basedOn w:val="DefaultParagraphFont"/>
    <w:link w:val="Heading1"/>
    <w:uiPriority w:val="9"/>
    <w:rsid w:val="00A35284"/>
    <w:rPr>
      <w:rFonts w:asciiTheme="majorHAnsi" w:eastAsiaTheme="majorEastAsia" w:hAnsiTheme="majorHAnsi" w:cstheme="majorBidi"/>
      <w:color w:val="2E74B5" w:themeColor="accent1" w:themeShade="BF"/>
      <w:sz w:val="32"/>
      <w:szCs w:val="32"/>
      <w:lang w:val="es-MX" w:eastAsia="es-MX"/>
    </w:rPr>
  </w:style>
  <w:style w:type="paragraph" w:customStyle="1" w:styleId="Ttulo1">
    <w:name w:val="Título1"/>
    <w:basedOn w:val="Normal"/>
    <w:next w:val="author"/>
    <w:rsid w:val="00A35284"/>
    <w:pPr>
      <w:keepNext/>
      <w:keepLines/>
      <w:pageBreakBefore/>
      <w:tabs>
        <w:tab w:val="left" w:pos="284"/>
      </w:tabs>
      <w:suppressAutoHyphens/>
      <w:spacing w:after="460" w:line="348" w:lineRule="exact"/>
      <w:jc w:val="center"/>
    </w:pPr>
    <w:rPr>
      <w:b/>
      <w:sz w:val="28"/>
    </w:rPr>
  </w:style>
  <w:style w:type="paragraph" w:customStyle="1" w:styleId="authorinfo">
    <w:name w:val="authorinfo"/>
    <w:basedOn w:val="Normal"/>
    <w:next w:val="Normal"/>
    <w:rsid w:val="00A35284"/>
    <w:pPr>
      <w:jc w:val="center"/>
    </w:pPr>
    <w:rPr>
      <w:sz w:val="18"/>
    </w:rPr>
  </w:style>
  <w:style w:type="paragraph" w:styleId="Bibliography">
    <w:name w:val="Bibliography"/>
    <w:basedOn w:val="Normal"/>
    <w:next w:val="Normal"/>
    <w:uiPriority w:val="37"/>
    <w:unhideWhenUsed/>
    <w:rsid w:val="00A35284"/>
  </w:style>
  <w:style w:type="paragraph" w:styleId="BalloonText">
    <w:name w:val="Balloon Text"/>
    <w:basedOn w:val="Normal"/>
    <w:link w:val="BalloonTextChar"/>
    <w:uiPriority w:val="99"/>
    <w:semiHidden/>
    <w:unhideWhenUsed/>
    <w:rsid w:val="00946E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6E0F"/>
    <w:rPr>
      <w:rFonts w:ascii="Segoe UI" w:eastAsia="Times New Roman" w:hAnsi="Segoe UI" w:cs="Segoe UI"/>
      <w:sz w:val="18"/>
      <w:szCs w:val="18"/>
      <w:lang w:eastAsia="de-DE"/>
    </w:rPr>
  </w:style>
  <w:style w:type="paragraph" w:styleId="NormalWeb">
    <w:name w:val="Normal (Web)"/>
    <w:basedOn w:val="Normal"/>
    <w:uiPriority w:val="99"/>
    <w:semiHidden/>
    <w:unhideWhenUsed/>
    <w:rsid w:val="00D41E0B"/>
    <w:pPr>
      <w:spacing w:before="100" w:beforeAutospacing="1" w:after="100" w:afterAutospacing="1"/>
      <w:ind w:firstLine="0"/>
      <w:jc w:val="left"/>
    </w:pPr>
    <w:rPr>
      <w:rFonts w:ascii="Times New Roman" w:hAnsi="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4067081">
      <w:bodyDiv w:val="1"/>
      <w:marLeft w:val="0"/>
      <w:marRight w:val="0"/>
      <w:marTop w:val="0"/>
      <w:marBottom w:val="0"/>
      <w:divBdr>
        <w:top w:val="none" w:sz="0" w:space="0" w:color="auto"/>
        <w:left w:val="none" w:sz="0" w:space="0" w:color="auto"/>
        <w:bottom w:val="none" w:sz="0" w:space="0" w:color="auto"/>
        <w:right w:val="none" w:sz="0" w:space="0" w:color="auto"/>
      </w:divBdr>
    </w:div>
    <w:div w:id="1148016356">
      <w:bodyDiv w:val="1"/>
      <w:marLeft w:val="0"/>
      <w:marRight w:val="0"/>
      <w:marTop w:val="0"/>
      <w:marBottom w:val="0"/>
      <w:divBdr>
        <w:top w:val="none" w:sz="0" w:space="0" w:color="auto"/>
        <w:left w:val="none" w:sz="0" w:space="0" w:color="auto"/>
        <w:bottom w:val="none" w:sz="0" w:space="0" w:color="auto"/>
        <w:right w:val="none" w:sz="0" w:space="0" w:color="auto"/>
      </w:divBdr>
    </w:div>
    <w:div w:id="1213536605">
      <w:bodyDiv w:val="1"/>
      <w:marLeft w:val="0"/>
      <w:marRight w:val="0"/>
      <w:marTop w:val="0"/>
      <w:marBottom w:val="0"/>
      <w:divBdr>
        <w:top w:val="none" w:sz="0" w:space="0" w:color="auto"/>
        <w:left w:val="none" w:sz="0" w:space="0" w:color="auto"/>
        <w:bottom w:val="none" w:sz="0" w:space="0" w:color="auto"/>
        <w:right w:val="none" w:sz="0" w:space="0" w:color="auto"/>
      </w:divBdr>
    </w:div>
    <w:div w:id="1527793866">
      <w:bodyDiv w:val="1"/>
      <w:marLeft w:val="0"/>
      <w:marRight w:val="0"/>
      <w:marTop w:val="0"/>
      <w:marBottom w:val="0"/>
      <w:divBdr>
        <w:top w:val="none" w:sz="0" w:space="0" w:color="auto"/>
        <w:left w:val="none" w:sz="0" w:space="0" w:color="auto"/>
        <w:bottom w:val="none" w:sz="0" w:space="0" w:color="auto"/>
        <w:right w:val="none" w:sz="0" w:space="0" w:color="auto"/>
      </w:divBdr>
    </w:div>
    <w:div w:id="1863587174">
      <w:bodyDiv w:val="1"/>
      <w:marLeft w:val="0"/>
      <w:marRight w:val="0"/>
      <w:marTop w:val="0"/>
      <w:marBottom w:val="0"/>
      <w:divBdr>
        <w:top w:val="none" w:sz="0" w:space="0" w:color="auto"/>
        <w:left w:val="none" w:sz="0" w:space="0" w:color="auto"/>
        <w:bottom w:val="none" w:sz="0" w:space="0" w:color="auto"/>
        <w:right w:val="none" w:sz="0" w:space="0" w:color="auto"/>
      </w:divBdr>
      <w:divsChild>
        <w:div w:id="1532187093">
          <w:marLeft w:val="0"/>
          <w:marRight w:val="0"/>
          <w:marTop w:val="0"/>
          <w:marBottom w:val="0"/>
          <w:divBdr>
            <w:top w:val="single" w:sz="6" w:space="0" w:color="356B20"/>
            <w:left w:val="single" w:sz="6" w:space="0" w:color="356B20"/>
            <w:bottom w:val="single" w:sz="6" w:space="0" w:color="356B20"/>
            <w:right w:val="single" w:sz="6" w:space="0" w:color="356B20"/>
          </w:divBdr>
          <w:divsChild>
            <w:div w:id="1295402792">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b:Source>
    <b:Tag>Fer17</b:Tag>
    <b:SourceType>Report</b:SourceType>
    <b:Guid>{9104F55B-7E14-497B-9124-6A29035FCC86}</b:Guid>
    <b:Title>Manual de riego para Agricultores: módulo 2. Riego por superficie</b:Title>
    <b:YearAccessed>2017</b:YearAccessed>
    <b:MonthAccessed>01</b:MonthAccessed>
    <b:DayAccessed>14</b:DayAccessed>
    <b:URL>http://www.juntadeandalucia.es/export/drupaljda/1337160940Riego_por_superficie_baja.pdf</b:URL>
    <b:Author>
      <b:Author>
        <b:NameList>
          <b:Person>
            <b:Last>Fernández</b:Last>
            <b:First>Rafael</b:First>
          </b:Person>
          <b:Person>
            <b:Last>Milla</b:Last>
            <b:First>Mercedes</b:First>
          </b:Person>
          <b:Person>
            <b:Last>Ávila</b:Last>
            <b:First>Ricardo</b:First>
          </b:Person>
          <b:Person>
            <b:Last>Berengena</b:Last>
            <b:First>Joaquín</b:First>
          </b:Person>
          <b:Person>
            <b:Last>Gavilán</b:Last>
            <b:First>Pedro</b:First>
          </b:Person>
          <b:Person>
            <b:Last>Oyonarte</b:Last>
            <b:First>Nicolás</b:First>
          </b:Person>
        </b:NameList>
      </b:Author>
    </b:Author>
    <b:InternetSiteTitle>Riego por superficie</b:InternetSiteTitle>
    <b:Year>2010</b:Year>
    <b:StandardNumber>84-8474-025-0</b:StandardNumber>
    <b:City>Sevilla</b:City>
    <b:RefOrder>1</b:RefOrder>
  </b:Source>
  <b:Source>
    <b:Tag>Die17</b:Tag>
    <b:SourceType>DocumentFromInternetSite</b:SourceType>
    <b:Guid>{4EA299D1-4A36-47FD-B62C-1D578A4E010E}</b:Guid>
    <b:Title>Instituto Nacional de Innovacion Agraria (INIA)</b:Title>
    <b:InternetSiteTitle>El riego por aspersión</b:InternetSiteTitle>
    <b:YearAccessed>2017</b:YearAccessed>
    <b:MonthAccessed>01</b:MonthAccessed>
    <b:DayAccessed>14</b:DayAccessed>
    <b:URL>http://lan.inea.org:8010/web/materiales/web/riego/anuncios/trabajos/El%20riego%20por%20aspersi%C3%B3n.pdf</b:URL>
    <b:Author>
      <b:Author>
        <b:NameList>
          <b:Person>
            <b:Last>Diego</b:Last>
            <b:First>Alonso</b:First>
          </b:Person>
        </b:NameList>
      </b:Author>
    </b:Author>
    <b:RefOrder>2</b:RefOrder>
  </b:Source>
  <b:Source>
    <b:Tag>Per17</b:Tag>
    <b:SourceType>Book</b:SourceType>
    <b:Guid>{980722BF-7398-4413-B347-600DE6B05AFB}</b:Guid>
    <b:Title>El riego y sus tecnologías</b:Title>
    <b:InternetSiteTitle>El riego y sus tecnologías</b:InternetSiteTitle>
    <b:YearAccessed>2017</b:YearAccessed>
    <b:MonthAccessed>01</b:MonthAccessed>
    <b:DayAccessed>14</b:DayAccessed>
    <b:URL>http://www.fagro.edu.uy/hidrologia/riego/El_Riego_y_sus_Tecnologias.pdf</b:URL>
    <b:Author>
      <b:Author>
        <b:NameList>
          <b:Person>
            <b:Last>Pereira</b:Last>
            <b:First>Luis</b:First>
          </b:Person>
          <b:Person>
            <b:Last>Valero</b:Last>
            <b:First>Jose</b:First>
          </b:Person>
          <b:Person>
            <b:Last>Picornell</b:Last>
            <b:First>María</b:First>
          </b:Person>
          <b:Person>
            <b:Last>Tarjuelo</b:Last>
            <b:First>José</b:First>
          </b:Person>
        </b:NameList>
      </b:Author>
    </b:Author>
    <b:Year>2010</b:Year>
    <b:StandardNumber>13:978-84-692-9979-1</b:StandardNumber>
    <b:Publisher>CREA-UCLM</b:Publisher>
    <b:City>Albacete</b:City>
    <b:RefOrder>3</b:RefOrder>
  </b:Source>
  <b:Source>
    <b:Tag>Chá16</b:Tag>
    <b:SourceType>DocumentFromInternetSite</b:SourceType>
    <b:Guid>{E2CD0FD2-7DB0-4C0E-92E2-17F67753BAF2}</b:Guid>
    <b:Title>Coordinadora Nacional de las Fundaciones Produce</b:Title>
    <b:InternetSiteTitle>¿Porqúe, cuánto, cuándo y cómo regar?</b:InternetSiteTitle>
    <b:ProductionCompany>Insituto Mexicano de Tecnología del Agua</b:ProductionCompany>
    <b:YearAccessed>2016</b:YearAccessed>
    <b:MonthAccessed>01</b:MonthAccessed>
    <b:DayAccessed>14</b:DayAccessed>
    <b:URL>http://www.cofupro.org.mx/cofupro/images/contenidoweb/indice/publicaciones-nayarit/FOLLETOS%20Y%20MANUALES/FOLLETOS%20IMTA%202009/folleto%201.pdf</b:URL>
    <b:Author>
      <b:Author>
        <b:NameList>
          <b:Person>
            <b:Last>Chávez</b:Last>
            <b:First>Pedro</b:First>
          </b:Person>
          <b:Person>
            <b:Last>Zataráin</b:Last>
            <b:First>Felipe</b:First>
          </b:Person>
        </b:NameList>
      </b:Author>
    </b:Author>
    <b:RefOrder>4</b:RefOrder>
  </b:Source>
  <b:Source>
    <b:Tag>Mir17</b:Tag>
    <b:SourceType>DocumentFromInternetSite</b:SourceType>
    <b:Guid>{01FC3A48-6C27-44E8-B557-C32F5C319527}</b:Guid>
    <b:Title>Instituto de Investigaciones Agropecuarias</b:Title>
    <b:InternetSiteTitle>Cuándo y cuánto regar</b:InternetSiteTitle>
    <b:YearAccessed>2017</b:YearAccessed>
    <b:MonthAccessed>01</b:MonthAccessed>
    <b:DayAccessed>14</b:DayAccessed>
    <b:URL>http://www2.inia.cl/medios/biblioteca/IPA/NR11862.pdf</b:URL>
    <b:Author>
      <b:Author>
        <b:NameList>
          <b:Person>
            <b:Last>Miranda</b:Last>
            <b:First>Oscar</b:First>
          </b:Person>
        </b:NameList>
      </b:Author>
    </b:Author>
    <b:RefOrder>5</b:RefOrder>
  </b:Source>
  <b:Source>
    <b:Tag>Uri17</b:Tag>
    <b:SourceType>DocumentFromInternetSite</b:SourceType>
    <b:Guid>{7B91C8E3-5D0A-4E22-A1C4-E9CF4EEEDCE9}</b:Guid>
    <b:Title>Instituto de Investigaciones Agropecuarias</b:Title>
    <b:InternetSiteTitle>Programación de riego</b:InternetSiteTitle>
    <b:YearAccessed>2017</b:YearAccessed>
    <b:MonthAccessed>01</b:MonthAccessed>
    <b:DayAccessed>15</b:DayAccessed>
    <b:URL>http://www2.inia.cl/medios/biblioteca/ta/NR25606.pdf</b:URL>
    <b:Author>
      <b:Author>
        <b:NameList>
          <b:Person>
            <b:Last>Uribe</b:Last>
            <b:First>Hamil</b:First>
          </b:Person>
          <b:Person>
            <b:Last>Maldonado</b:Last>
            <b:First>Isaac</b:First>
          </b:Person>
        </b:NameList>
      </b:Author>
    </b:Author>
    <b:RefOrder>6</b:RefOrder>
  </b:Source>
  <b:Source>
    <b:Tag>Kha11</b:Tag>
    <b:SourceType>JournalArticle</b:SourceType>
    <b:Guid>{81BD2EB9-146D-49CF-85CC-432698EF87B4}</b:Guid>
    <b:Title>Irrigation water demand forecasting: a data pre-processing and data mining approach based on spatio-temporal data</b:Title>
    <b:Year>2011</b:Year>
    <b:StandardNumber>978-1-921770-02-9</b:StandardNumber>
    <b:City>Ballarat</b:City>
    <b:Volume>121</b:Volume>
    <b:Author>
      <b:Author>
        <b:NameList>
          <b:Person>
            <b:Last>Khan</b:Last>
            <b:First>Mahmood</b:First>
          </b:Person>
          <b:Person>
            <b:Last>Islam</b:Last>
            <b:First>Zahidul </b:First>
          </b:Person>
          <b:Person>
            <b:Last>Hafeez</b:Last>
            <b:First>Mohsin</b:First>
          </b:Person>
        </b:NameList>
      </b:Author>
    </b:Author>
    <b:RefOrder>7</b:RefOrder>
  </b:Source>
  <b:Source>
    <b:Tag>Irr17</b:Tag>
    <b:SourceType>DocumentFromInternetSite</b:SourceType>
    <b:Guid>{EE01A307-11E8-4FFF-B0D8-1606BFF49066}</b:Guid>
    <b:Author>
      <b:Author>
        <b:Corporate>IrrglApp</b:Corporate>
      </b:Author>
    </b:Author>
    <b:Title>IrrglApp Map</b:Title>
    <b:YearAccessed>2017</b:YearAccessed>
    <b:MonthAccessed>01</b:MonthAccessed>
    <b:DayAccessed>15</b:DayAccessed>
    <b:URL>http://www.irrglapp.com/estaciones-igla</b:URL>
    <b:RefOrder>8</b:RefOrder>
  </b:Source>
  <b:Source>
    <b:Tag>Aqu17</b:Tag>
    <b:SourceType>DocumentFromInternetSite</b:SourceType>
    <b:Guid>{B5D6FAB5-9882-4B6C-918F-5232B4258330}</b:Guid>
    <b:Author>
      <b:Author>
        <b:Corporate>Aquadaia</b:Corporate>
      </b:Author>
    </b:Author>
    <b:Title>Aquadaia :: Recomendador de Riego</b:Title>
    <b:YearAccessed>2017</b:YearAccessed>
    <b:MonthAccessed>01</b:MonthAccessed>
    <b:DayAccessed>15</b:DayAccessed>
    <b:URL>http://www.aquadaia.com/</b:URL>
    <b:RefOrder>9</b:RefOrder>
  </b:Source>
  <b:Source>
    <b:Tag>Cof15</b:Tag>
    <b:SourceType>DocumentFromInternetSite</b:SourceType>
    <b:Guid>{219DFA40-72C0-4504-B714-F0FA07B552D2}</b:Guid>
    <b:Title>Cofupro | IrriModel: programación integral y gestión del riego a través de Internet</b:Title>
    <b:YearAccessed>2015</b:YearAccessed>
    <b:MonthAccessed>01</b:MonthAccessed>
    <b:DayAccessed>15</b:DayAccessed>
    <b:URL>http://www.cofupro.org.mx/cofupro/publicaciones.php?publicaciones=637</b:URL>
    <b:Author>
      <b:Author>
        <b:Corporate>COFUPRO</b:Corporate>
      </b:Author>
    </b:Author>
    <b:RefOrder>10</b:RefOrder>
  </b:Source>
  <b:Source>
    <b:Tag>Ort17</b:Tag>
    <b:SourceType>DocumentFromInternetSite</b:SourceType>
    <b:Guid>{7F128E32-D799-45D2-A5B3-BC5EBF0CEAB8}</b:Guid>
    <b:Title>Sistema de Información de Fundaciones Produce</b:Title>
    <b:YearAccessed>2017</b:YearAccessed>
    <b:MonthAccessed>01</b:MonthAccessed>
    <b:DayAccessed>15</b:DayAccessed>
    <b:URL>http://siproduce.sifupro.org.mx/seguimiento/archivero/26/2013/anuales/anu_1666-6-2014-05-1.pdf</b:URL>
    <b:Author>
      <b:Author>
        <b:NameList>
          <b:Person>
            <b:Last>Ortíz</b:Last>
            <b:First>Eliseo</b:First>
          </b:Person>
          <b:Person>
            <b:Last>Félix</b:Last>
            <b:First>Pedro</b:First>
          </b:Person>
          <b:Person>
            <b:Last>Padilla</b:Last>
            <b:First>Isidoro</b:First>
          </b:Person>
        </b:NameList>
      </b:Author>
    </b:Author>
    <b:RefOrder>11</b:RefOrder>
  </b:Source>
  <b:Source>
    <b:Tag>Amb12</b:Tag>
    <b:SourceType>Book</b:SourceType>
    <b:Guid>{4831A665-5734-4B1F-9688-0A74D1E5839F}</b:Guid>
    <b:Title>Disciplined Agile Delivery: A Practitioner’s Guide to Agile Software Delivery in the Enterprise</b:Title>
    <b:Year>2012</b:Year>
    <b:Publisher>IBM Press</b:Publisher>
    <b:StandardNumber>978-0-13-281009-8</b:StandardNumber>
    <b:Author>
      <b:Author>
        <b:NameList>
          <b:Person>
            <b:Last>Ambler</b:Last>
            <b:First>Scott W.</b:First>
          </b:Person>
          <b:Person>
            <b:Last>Lines</b:Last>
            <b:First>Mark</b:First>
          </b:Person>
        </b:NameList>
      </b:Author>
    </b:Author>
    <b:RefOrder>12</b:RefOrder>
  </b:Source>
  <b:Source>
    <b:Tag>Bas12</b:Tag>
    <b:SourceType>Book</b:SourceType>
    <b:Guid>{39A0B02B-E912-423D-BDE1-58A515C26378}</b:Guid>
    <b:Title>Software Architecture in Practice, Third Edition</b:Title>
    <b:Year>2012</b:Year>
    <b:Publisher>Addison-Wesley Professional</b:Publisher>
    <b:StandardNumber>978-0-13-294279-9</b:StandardNumber>
    <b:Author>
      <b:Author>
        <b:NameList>
          <b:Person>
            <b:Last>Bass</b:Last>
            <b:First>Len</b:First>
          </b:Person>
          <b:Person>
            <b:Last>Clements</b:Last>
            <b:First>Paul</b:First>
          </b:Person>
          <b:Person>
            <b:Last>Kazman</b:Last>
            <b:First>Rick</b:First>
          </b:Person>
        </b:NameList>
      </b:Author>
    </b:Author>
    <b:RefOrder>13</b:RefOrder>
  </b:Source>
  <b:Source>
    <b:Tag>Reg10</b:Tag>
    <b:SourceType>DocumentFromInternetSite</b:SourceType>
    <b:Guid>{BCC471FA-EBCE-4FAF-94A8-BEF6A904497E}</b:Guid>
    <b:Author>
      <b:Author>
        <b:NameList>
          <b:Person>
            <b:Last>Rego</b:Last>
            <b:First>Paula</b:First>
          </b:Person>
          <b:Person>
            <b:Middle>Moreira</b:Middle>
            <b:First>Pedro Miguel</b:First>
          </b:Person>
          <b:Person>
            <b:Middle>Reis</b:Middle>
            <b:First>Luis Paulo</b:First>
          </b:Person>
        </b:NameList>
      </b:Author>
    </b:Author>
    <b:Title>Serious games for rehabilitation: A survey</b:Title>
    <b:Year>2010</b:Year>
    <b:Month>Agosto</b:Month>
    <b:YearAccessed>2017</b:YearAccessed>
    <b:MonthAccessed>Enero</b:MonthAccessed>
    <b:URL>http://ieeexplore.ieee.org/abstract/document/5556674/</b:URL>
    <b:RefOrder>1</b:RefOrder>
  </b:Source>
  <b:Source>
    <b:Tag>Fed14</b:Tag>
    <b:SourceType>DocumentFromInternetSite</b:SourceType>
    <b:Guid>{B076893E-64D5-4BDA-A3EA-CB2C84E3FB77}</b:Guid>
    <b:Title>International Journal of Computer Games Technology</b:Title>
    <b:Year>2014</b:Year>
    <b:Month>Mayo</b:Month>
    <b:YearAccessed>2017</b:YearAccessed>
    <b:MonthAccessed>Enero</b:MonthAccessed>
    <b:URL>https://www.hindawi.com/journals/ijcgt/2014/358152/#B3</b:URL>
    <b:Author>
      <b:Author>
        <b:NameList>
          <b:Person>
            <b:Middle>Laamarti</b:Middle>
            <b:First>Fedwa</b:First>
          </b:Person>
          <b:Person>
            <b:Middle>Eid</b:Middle>
            <b:First>Mohamad</b:First>
          </b:Person>
          <b:Person>
            <b:Middle>El Saddik</b:Middle>
            <b:First>Abdulmotaleb</b:First>
          </b:Person>
        </b:NameList>
      </b:Author>
    </b:Author>
    <b:RefOrder>2</b:RefOrder>
  </b:Source>
  <b:Source>
    <b:Tag>Dav96</b:Tag>
    <b:SourceType>InternetSite</b:SourceType>
    <b:Guid>{750577F0-A623-4F53-9E01-1F71905FBDD4}</b:Guid>
    <b:Title>Pong story</b:Title>
    <b:Year>1996</b:Year>
    <b:YearAccessed>2017</b:YearAccessed>
    <b:MonthAccessed>Enero</b:MonthAccessed>
    <b:URL>http://www.pong-story.com/odyssey.htm</b:URL>
    <b:Author>
      <b:Author>
        <b:NameList>
          <b:Person>
            <b:Last>Winter</b:Last>
            <b:First>David</b:First>
          </b:Person>
        </b:NameList>
      </b:Author>
    </b:Author>
    <b:ProductionCompany>Magnavox Odyssey</b:ProductionCompany>
    <b:RefOrder>3</b:RefOrder>
  </b:Source>
  <b:Source>
    <b:Tag>Pyl02</b:Tag>
    <b:SourceType>DocumentFromInternetSite</b:SourceType>
    <b:Guid>{59666626-5A7D-4821-9532-9E0A01AC4363}</b:Guid>
    <b:Author>
      <b:Author>
        <b:NameList>
          <b:Person>
            <b:Last>Pyllay</b:Last>
            <b:First>H</b:First>
          </b:Person>
        </b:NameList>
      </b:Author>
    </b:Author>
    <b:Title>An investigation of cognitive processes engaged in by recreational computer game players</b:Title>
    <b:Year>2002</b:Year>
    <b:YearAccessed>2017</b:YearAccessed>
    <b:MonthAccessed>Enero </b:MonthAccessed>
    <b:URL>http://gblenvironments.pbworks.com/f/Pillay2002.pdf</b:URL>
    <b:RefOrder>4</b:RefOrder>
  </b:Source>
  <b:Source>
    <b:Tag>Lee05</b:Tag>
    <b:SourceType>DocumentFromInternetSite</b:SourceType>
    <b:Guid>{2FD0329D-92B7-452E-9D2B-4F3AC33381EE}</b:Guid>
    <b:Author>
      <b:Author>
        <b:NameList>
          <b:Person>
            <b:Last>Lee</b:Last>
            <b:First>Kwan</b:First>
            <b:Middle>Min</b:Middle>
          </b:Person>
          <b:Person>
            <b:Middle>Peng</b:Middle>
            <b:First>Wei</b:First>
          </b:Person>
        </b:NameList>
      </b:Author>
    </b:Author>
    <b:Title>What Do We Know About Social and Psychological Effects of computer games</b:Title>
    <b:Year>2005</b:Year>
    <b:YearAccessed>2017</b:YearAccessed>
    <b:MonthAccessed>Enero</b:MonthAccessed>
    <b:URL>http://citeseerx.ist.psu.edu/viewdoc/download?doi=10.1.1.475.144&amp;rep=rep1&amp;type=pdf</b:URL>
    <b:RefOrder>5</b:RefOrder>
  </b:Source>
  <b:Source>
    <b:Tag>Thesf</b:Tag>
    <b:SourceType>DocumentFromInternetSite</b:SourceType>
    <b:Guid>{B0FDBF54-D63B-4545-B153-3A96FE4E3875}</b:Guid>
    <b:Author>
      <b:Author>
        <b:NameList>
          <b:Person>
            <b:Last>site</b:Last>
            <b:First>The</b:First>
            <b:Middle>ADD/ADHD Support</b:Middle>
          </b:Person>
        </b:NameList>
      </b:Author>
    </b:Author>
    <b:Title>ADHD Educational Software and Video Games Used to Treat ADD/ADHD</b:Title>
    <b:Year>s.f</b:Year>
    <b:YearAccessed>2017</b:YearAccessed>
    <b:MonthAccessed>Enero</b:MonthAccessed>
    <b:URL>http://www.attentiondeficit-add-adhd.com/adhd-educational-software.htm</b:URL>
    <b:RefOrder>6</b:RefOrder>
  </b:Source>
  <b:Source>
    <b:Tag>Ala94</b:Tag>
    <b:SourceType>DocumentFromInternetSite</b:SourceType>
    <b:Guid>{9DB836FD-0EF7-4330-A941-C99B51A75B71}</b:Guid>
    <b:Author>
      <b:Author>
        <b:NameList>
          <b:Person>
            <b:Last>Pope</b:Last>
            <b:First>Alan</b:First>
          </b:Person>
        </b:NameList>
      </b:Author>
    </b:Author>
    <b:Title>Method of encouraging attention by correlating video game difficulty with attention level </b:Title>
    <b:Year>1994</b:Year>
    <b:Month>Diciembre</b:Month>
    <b:YearAccessed>2017</b:YearAccessed>
    <b:MonthAccessed>Enero</b:MonthAccessed>
    <b:URL>https://www.google.com/patents/US5377100</b:URL>
    <b:RefOrder>7</b:RefOrder>
  </b:Source>
  <b:Source>
    <b:Tag>Funsf</b:Tag>
    <b:SourceType>InternetSite</b:SourceType>
    <b:Guid>{63F28957-EBCA-45A3-A1D0-0A99AFAEB073}</b:Guid>
    <b:Title>TDAH: Instrumentos o pruebas para evaluar la Atención, Hiperactividad e Impulsividad</b:Title>
    <b:Year>s.f</b:Year>
    <b:YearAccessed>2017</b:YearAccessed>
    <b:MonthAccessed>Enero</b:MonthAccessed>
    <b:URL>http://www.fundacioncadah.org/web/articulo/tdah-instrumentos-o-pruebas-para-evaluar-la-atencion-hiperactividad-e-impulsividad.html</b:URL>
    <b:Author>
      <b:Author>
        <b:NameList>
          <b:Person>
            <b:Last>CADAH</b:Last>
            <b:First>Fundación</b:First>
          </b:Person>
        </b:NameList>
      </b:Author>
    </b:Author>
    <b:RefOrder>8</b:RefOrder>
  </b:Source>
  <b:Source>
    <b:Tag>Rol12</b:Tag>
    <b:SourceType>DocumentFromInternetSite</b:SourceType>
    <b:Guid>{CE694F42-33C4-402D-A9B4-BE4A6DFD73AE}</b:Guid>
    <b:Title>Extracto de: d2, Test de atención</b:Title>
    <b:Year>2012</b:Year>
    <b:YearAccessed>2017</b:YearAccessed>
    <b:MonthAccessed>Enero</b:MonthAccessed>
    <b:URL>http://www.web.teaediciones.com/Ejemplos/D2-EXTRACTO.pdf</b:URL>
    <b:Author>
      <b:Author>
        <b:NameList>
          <b:Person>
            <b:Last>Brickenkamp</b:Last>
            <b:First>Rolf</b:First>
          </b:Person>
        </b:NameList>
      </b:Author>
    </b:Author>
    <b:RefOrder>9</b:RefOrder>
  </b:Source>
  <b:Source>
    <b:Tag>Psisf</b:Tag>
    <b:SourceType>DocumentFromInternetSite</b:SourceType>
    <b:Guid>{C97A4A83-6814-48B4-826D-1C4DC2563D1B}</b:Guid>
    <b:Author>
      <b:Author>
        <b:NameList>
          <b:Person>
            <b:Last>Psicologiauned</b:Last>
          </b:Person>
        </b:NameList>
      </b:Author>
    </b:Author>
    <b:Title>Psicología de la atención</b:Title>
    <b:Year>s.f</b:Year>
    <b:YearAccessed>2017</b:YearAccessed>
    <b:MonthAccessed>Enero</b:MonthAccessed>
    <b:URL>http://www.psicocode.com/resumenes/4ATENCION.pdf</b:URL>
    <b:RefOrder>11</b:RefOrder>
  </b:Source>
  <b:Source>
    <b:Tag>Man11</b:Tag>
    <b:SourceType>DocumentFromInternetSite</b:SourceType>
    <b:Guid>{4F3D6B54-88A6-4D65-AC2A-4868E04E07B2}</b:Guid>
    <b:Title>Manual de escala magallanes de atención visual</b:Title>
    <b:Year>2011</b:Year>
    <b:YearAccessed>2017</b:YearAccessed>
    <b:MonthAccessed>Enero</b:MonthAccessed>
    <b:URL>http://www.gac.com.es/editorial/INFO/Manuales/emavMANU.pdf</b:URL>
    <b:RefOrder>10</b:RefOrder>
  </b:Source>
</b:Sources>
</file>

<file path=customXml/itemProps1.xml><?xml version="1.0" encoding="utf-8"?>
<ds:datastoreItem xmlns:ds="http://schemas.openxmlformats.org/officeDocument/2006/customXml" ds:itemID="{60BDAEFD-2B2A-470D-B7EC-EC34A935F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925</TotalTime>
  <Pages>4</Pages>
  <Words>1452</Words>
  <Characters>7991</Characters>
  <Application>Microsoft Office Word</Application>
  <DocSecurity>0</DocSecurity>
  <Lines>66</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Adalaid Carranza Alvarez</dc:creator>
  <cp:keywords/>
  <dc:description/>
  <cp:lastModifiedBy>alumno</cp:lastModifiedBy>
  <cp:revision>56</cp:revision>
  <cp:lastPrinted>2017-08-29T13:04:00Z</cp:lastPrinted>
  <dcterms:created xsi:type="dcterms:W3CDTF">2017-08-14T18:29:00Z</dcterms:created>
  <dcterms:modified xsi:type="dcterms:W3CDTF">2017-11-06T15:53:00Z</dcterms:modified>
</cp:coreProperties>
</file>