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 Operational SOP</w:t>
      </w:r>
    </w:p>
    <w:p>
      <w:r>
        <w:br/>
        <w:t>### ✅ STRATEGIC DIRECTIVE: COMPLIANCE SOVEREIGNTY</w:t>
        <w:br/>
        <w:t>**Status:** Optimized Metabolic Efficiency</w:t>
        <w:br/>
        <w:br/>
        <w:t>**1. ESG Metric Harvesting:**</w:t>
        <w:br/>
        <w:t>Deploy API hooks to verify BC Step Code 4 compliance. We will convert your 65.4 kW ceiling data into 'Sovereign Energy Certificates' for market positioning.</w:t>
        <w:br/>
        <w:br/>
        <w:t>**2. Load Shifting:**</w:t>
        <w:br/>
        <w:t>Shift 12% of flexible activity into 'Green Windows' where utility carbon intensity is lowest. Maintain baseline stability.</w:t>
        <w:br/>
        <w:t xml:space="preserve">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