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C61" w:rsidRPr="00635C61" w:rsidRDefault="00635C61" w:rsidP="00635C61">
      <w:pPr>
        <w:pStyle w:val="NormalWeb"/>
        <w:rPr>
          <w:rFonts w:ascii="Arial" w:hAnsi="Arial" w:cs="Arial"/>
        </w:rPr>
      </w:pPr>
      <w:r w:rsidRPr="00635C61">
        <w:rPr>
          <w:rFonts w:ascii="Arial" w:hAnsi="Arial" w:cs="Arial"/>
        </w:rPr>
        <w:t>O Ressarcimento é um direito constitucional, previsto no art. 150, que permite ao contribuinte se ressarcir do valor pago antecipadamente de imposto por Substituição Tributária, quando o fato gerador presumido não ocorrer.</w:t>
      </w:r>
    </w:p>
    <w:p w:rsidR="00635C61" w:rsidRPr="00635C61" w:rsidRDefault="00635C61" w:rsidP="00635C61">
      <w:pPr>
        <w:pStyle w:val="NormalWeb"/>
        <w:rPr>
          <w:rFonts w:ascii="Arial" w:hAnsi="Arial" w:cs="Arial"/>
        </w:rPr>
      </w:pPr>
      <w:r w:rsidRPr="00635C61">
        <w:rPr>
          <w:rFonts w:ascii="Arial" w:hAnsi="Arial" w:cs="Arial"/>
        </w:rPr>
        <w:t xml:space="preserve">A Secretaria da Fazenda do Estado de São Paulo, por meio dos artigos 269 ao 272 do RICMS-SP e Portaria CAT 17/99 e 158/15 estabelece as regras para o ressarcimento. </w:t>
      </w:r>
    </w:p>
    <w:p w:rsidR="00635C61" w:rsidRPr="00635C61" w:rsidRDefault="00635C61" w:rsidP="00635C61">
      <w:pPr>
        <w:pStyle w:val="NormalWeb"/>
        <w:rPr>
          <w:rFonts w:ascii="Arial" w:hAnsi="Arial" w:cs="Arial"/>
        </w:rPr>
      </w:pPr>
      <w:r w:rsidRPr="00635C61">
        <w:rPr>
          <w:rFonts w:ascii="Arial" w:hAnsi="Arial" w:cs="Arial"/>
        </w:rPr>
        <w:t>A situação mais comum que gera direito ao Ressarcimento nas empresas está prevista no artigo 269, IV, ocorrendo quando o contribuinte substituído promove saída destinada a outro Estado.</w:t>
      </w:r>
    </w:p>
    <w:p w:rsidR="00635C61" w:rsidRPr="00635C61" w:rsidRDefault="00635C61" w:rsidP="00635C61">
      <w:pPr>
        <w:pStyle w:val="NormalWeb"/>
        <w:rPr>
          <w:rFonts w:ascii="Arial" w:hAnsi="Arial" w:cs="Arial"/>
        </w:rPr>
      </w:pPr>
      <w:r w:rsidRPr="00635C61">
        <w:rPr>
          <w:rFonts w:ascii="Arial" w:hAnsi="Arial" w:cs="Arial"/>
        </w:rPr>
        <w:t>Caso Prático:</w:t>
      </w:r>
    </w:p>
    <w:p w:rsidR="00635C61" w:rsidRPr="00635C61" w:rsidRDefault="00635C61" w:rsidP="00635C61">
      <w:pPr>
        <w:pStyle w:val="NormalWeb"/>
        <w:rPr>
          <w:rFonts w:ascii="Arial" w:hAnsi="Arial" w:cs="Arial"/>
        </w:rPr>
      </w:pPr>
      <w:r w:rsidRPr="00635C61">
        <w:rPr>
          <w:rFonts w:ascii="Arial" w:hAnsi="Arial" w:cs="Arial"/>
        </w:rPr>
        <w:t>Empresa atacadista (substituída) localizada na cidade de Cedral-SP revende produtos adquiridos com ST para contribuinte de Uchoa-SP. Neste caso, não há destaque de ICMS na Nota Fiscal de venda, pois o imposto foi recolhido antecipadamente pela indústria (substituto). Logo, a empresa atacadista não terá direito ao ressarcimento.</w:t>
      </w:r>
    </w:p>
    <w:p w:rsidR="00635C61" w:rsidRDefault="00635C61" w:rsidP="006236E6">
      <w:pPr>
        <w:pStyle w:val="NormalWeb"/>
        <w:rPr>
          <w:rFonts w:ascii="Arial" w:hAnsi="Arial" w:cs="Arial"/>
        </w:rPr>
      </w:pPr>
      <w:r w:rsidRPr="00635C61">
        <w:rPr>
          <w:rFonts w:ascii="Arial" w:hAnsi="Arial" w:cs="Arial"/>
        </w:rPr>
        <w:t>Entretanto, se a empresa atacadista (substituída) localizada na cidade de Cedral-SP revender produtos adquiridos com ST para outro Estado, deverá destacar o ICMS interestadual (7% ou 12%) na Nota Fiscal de venda. Neste caso, houve quebra de ST, pois o fato gerador presumido não ocorreu dentro do Estado de São Paulo. Logo, a empresa atacadista terá direito ao Ressarcimento do ICMS-ST (art. 269) e ao ICMS</w:t>
      </w:r>
      <w:r w:rsidR="006236E6">
        <w:rPr>
          <w:rFonts w:ascii="Arial" w:hAnsi="Arial" w:cs="Arial"/>
        </w:rPr>
        <w:t xml:space="preserve"> da operação própria (art. 271).</w:t>
      </w:r>
    </w:p>
    <w:p w:rsidR="006236E6" w:rsidRDefault="006236E6" w:rsidP="006236E6">
      <w:pPr>
        <w:pStyle w:val="NormalWeb"/>
        <w:rPr>
          <w:rFonts w:ascii="Arial" w:hAnsi="Arial" w:cs="Arial"/>
        </w:rPr>
      </w:pPr>
      <w:r>
        <w:rPr>
          <w:rFonts w:ascii="Arial" w:hAnsi="Arial" w:cs="Arial"/>
        </w:rPr>
        <w:t>Quais empresas tem direito ao Ressarcimento ST ?</w:t>
      </w:r>
    </w:p>
    <w:p w:rsidR="006236E6" w:rsidRDefault="006236E6" w:rsidP="006236E6">
      <w:pPr>
        <w:pStyle w:val="NormalWeb"/>
        <w:rPr>
          <w:rFonts w:ascii="Arial" w:hAnsi="Arial" w:cs="Arial"/>
        </w:rPr>
      </w:pPr>
      <w:r>
        <w:rPr>
          <w:rFonts w:ascii="Arial" w:hAnsi="Arial" w:cs="Arial"/>
        </w:rPr>
        <w:t xml:space="preserve">Todas as empresas nas condições abaixo: </w:t>
      </w:r>
    </w:p>
    <w:p w:rsidR="006236E6" w:rsidRDefault="006236E6" w:rsidP="006236E6">
      <w:pPr>
        <w:pStyle w:val="NormalWeb"/>
        <w:numPr>
          <w:ilvl w:val="0"/>
          <w:numId w:val="3"/>
        </w:numPr>
        <w:rPr>
          <w:rFonts w:ascii="Arial" w:hAnsi="Arial" w:cs="Arial"/>
        </w:rPr>
      </w:pPr>
      <w:r>
        <w:rPr>
          <w:rFonts w:ascii="Arial" w:hAnsi="Arial" w:cs="Arial"/>
        </w:rPr>
        <w:t>Na condiç</w:t>
      </w:r>
      <w:r w:rsidR="005A4F5B">
        <w:rPr>
          <w:rFonts w:ascii="Arial" w:hAnsi="Arial" w:cs="Arial"/>
        </w:rPr>
        <w:t>ão de contribuinte</w:t>
      </w:r>
      <w:r>
        <w:rPr>
          <w:rFonts w:ascii="Arial" w:hAnsi="Arial" w:cs="Arial"/>
        </w:rPr>
        <w:t xml:space="preserve"> substituído (atacadistas / distribuidores / revendedores). </w:t>
      </w:r>
    </w:p>
    <w:p w:rsidR="006236E6" w:rsidRDefault="006236E6" w:rsidP="006236E6">
      <w:pPr>
        <w:pStyle w:val="NormalWeb"/>
        <w:numPr>
          <w:ilvl w:val="0"/>
          <w:numId w:val="3"/>
        </w:numPr>
        <w:rPr>
          <w:rFonts w:ascii="Arial" w:hAnsi="Arial" w:cs="Arial"/>
        </w:rPr>
      </w:pPr>
      <w:r>
        <w:rPr>
          <w:rFonts w:ascii="Arial" w:hAnsi="Arial" w:cs="Arial"/>
        </w:rPr>
        <w:t xml:space="preserve">Tributadas pelo lucro real ou lucro presumido </w:t>
      </w:r>
    </w:p>
    <w:p w:rsidR="00726B08" w:rsidRDefault="006236E6" w:rsidP="006236E6">
      <w:pPr>
        <w:pStyle w:val="NormalWeb"/>
        <w:numPr>
          <w:ilvl w:val="0"/>
          <w:numId w:val="3"/>
        </w:numPr>
        <w:rPr>
          <w:rFonts w:ascii="Arial" w:hAnsi="Arial" w:cs="Arial"/>
        </w:rPr>
      </w:pPr>
      <w:r>
        <w:rPr>
          <w:rFonts w:ascii="Arial" w:hAnsi="Arial" w:cs="Arial"/>
        </w:rPr>
        <w:t>Promovendo saída de produtos com substituição tributária para fora do estado de São Paulo.</w:t>
      </w:r>
    </w:p>
    <w:p w:rsidR="00726B08" w:rsidRPr="00726B08" w:rsidRDefault="00726B08" w:rsidP="00726B08">
      <w:pPr>
        <w:widowControl/>
        <w:suppressAutoHyphens w:val="0"/>
        <w:spacing w:before="100" w:beforeAutospacing="1" w:after="100" w:afterAutospacing="1"/>
        <w:jc w:val="left"/>
        <w:textAlignment w:val="auto"/>
        <w:rPr>
          <w:rFonts w:ascii="Arial" w:eastAsia="Times New Roman" w:hAnsi="Arial" w:cs="Arial"/>
          <w:kern w:val="0"/>
        </w:rPr>
      </w:pPr>
      <w:r w:rsidRPr="00726B08">
        <w:rPr>
          <w:rFonts w:ascii="Arial" w:eastAsia="Times New Roman" w:hAnsi="Arial" w:cs="Arial"/>
          <w:kern w:val="0"/>
        </w:rPr>
        <w:t>O que é ressarcimento de ICMS ST?</w:t>
      </w:r>
    </w:p>
    <w:p w:rsidR="00726B08" w:rsidRPr="00726B08" w:rsidRDefault="00726B08" w:rsidP="00726B08">
      <w:pPr>
        <w:widowControl/>
        <w:suppressAutoHyphens w:val="0"/>
        <w:spacing w:before="100" w:beforeAutospacing="1" w:after="100" w:afterAutospacing="1"/>
        <w:jc w:val="left"/>
        <w:textAlignment w:val="auto"/>
        <w:rPr>
          <w:rFonts w:ascii="Arial" w:eastAsia="Times New Roman" w:hAnsi="Arial" w:cs="Arial"/>
          <w:kern w:val="0"/>
        </w:rPr>
      </w:pPr>
      <w:r w:rsidRPr="00726B08">
        <w:rPr>
          <w:rFonts w:ascii="Arial" w:eastAsia="Times New Roman" w:hAnsi="Arial" w:cs="Arial"/>
          <w:kern w:val="0"/>
        </w:rPr>
        <w:t xml:space="preserve">O ressarcimento do ICMS Substituição Tributária aplica-se quando ocorrem as hipóteses previstas no Artigo 269 do </w:t>
      </w:r>
      <w:hyperlink r:id="rId7" w:tgtFrame="_blank" w:history="1">
        <w:r w:rsidRPr="00726B08">
          <w:rPr>
            <w:rFonts w:ascii="Arial" w:eastAsia="Times New Roman" w:hAnsi="Arial" w:cs="Arial"/>
            <w:b/>
            <w:bCs/>
            <w:color w:val="0000FF"/>
            <w:kern w:val="0"/>
            <w:u w:val="single"/>
          </w:rPr>
          <w:t>RICMS/SP</w:t>
        </w:r>
      </w:hyperlink>
      <w:r w:rsidRPr="00726B08">
        <w:rPr>
          <w:rFonts w:ascii="Arial" w:eastAsia="Times New Roman" w:hAnsi="Arial" w:cs="Arial"/>
          <w:kern w:val="0"/>
        </w:rPr>
        <w:t>, vejamos:</w:t>
      </w:r>
    </w:p>
    <w:p w:rsidR="00726B08" w:rsidRPr="00726B08" w:rsidRDefault="00726B08" w:rsidP="00726B08">
      <w:pPr>
        <w:widowControl/>
        <w:suppressAutoHyphens w:val="0"/>
        <w:spacing w:before="100" w:beforeAutospacing="1" w:after="100" w:afterAutospacing="1"/>
        <w:jc w:val="left"/>
        <w:textAlignment w:val="auto"/>
        <w:rPr>
          <w:rFonts w:ascii="Arial" w:eastAsia="Times New Roman" w:hAnsi="Arial" w:cs="Arial"/>
          <w:kern w:val="0"/>
        </w:rPr>
      </w:pPr>
      <w:r w:rsidRPr="00726B08">
        <w:rPr>
          <w:rFonts w:ascii="Arial" w:eastAsia="Times New Roman" w:hAnsi="Arial" w:cs="Arial"/>
          <w:kern w:val="0"/>
        </w:rPr>
        <w:t>“</w:t>
      </w:r>
      <w:r w:rsidRPr="00726B08">
        <w:rPr>
          <w:rFonts w:ascii="Arial" w:eastAsia="Times New Roman" w:hAnsi="Arial" w:cs="Arial"/>
          <w:b/>
          <w:bCs/>
          <w:kern w:val="0"/>
        </w:rPr>
        <w:t>Artigo 269</w:t>
      </w:r>
      <w:r w:rsidRPr="00726B08">
        <w:rPr>
          <w:rFonts w:ascii="Arial" w:eastAsia="Times New Roman" w:hAnsi="Arial" w:cs="Arial"/>
          <w:kern w:val="0"/>
        </w:rPr>
        <w:t xml:space="preserve"> – Nas situações adiante indicadas, o estabelecimento do contribuinte substituído que tiver recebido mercadoria ou serviço com </w:t>
      </w:r>
      <w:hyperlink r:id="rId8" w:history="1">
        <w:r w:rsidRPr="00726B08">
          <w:rPr>
            <w:rFonts w:ascii="Arial" w:eastAsia="Times New Roman" w:hAnsi="Arial" w:cs="Arial"/>
            <w:b/>
            <w:bCs/>
            <w:color w:val="0000FF"/>
            <w:kern w:val="0"/>
            <w:u w:val="single"/>
          </w:rPr>
          <w:t>retenção do imposto</w:t>
        </w:r>
      </w:hyperlink>
      <w:r w:rsidRPr="00726B08">
        <w:rPr>
          <w:rFonts w:ascii="Arial" w:eastAsia="Times New Roman" w:hAnsi="Arial" w:cs="Arial"/>
          <w:kern w:val="0"/>
        </w:rPr>
        <w:t>, observada a disciplina estabelecida pela Secretaria da Fazenda, poderá ressarcir-se:</w:t>
      </w:r>
      <w:r w:rsidRPr="00726B08">
        <w:rPr>
          <w:rFonts w:ascii="Arial" w:eastAsia="Times New Roman" w:hAnsi="Arial" w:cs="Arial"/>
          <w:kern w:val="0"/>
        </w:rPr>
        <w:br/>
        <w:t>I – do valor do imposto retido a maior, correspondente à diferença entre o valor que serviu de base à retenção e o valor da operação ou prestação realizada com consumidor ou usuário final;</w:t>
      </w:r>
      <w:r w:rsidRPr="00726B08">
        <w:rPr>
          <w:rFonts w:ascii="Arial" w:eastAsia="Times New Roman" w:hAnsi="Arial" w:cs="Arial"/>
          <w:kern w:val="0"/>
        </w:rPr>
        <w:br/>
        <w:t>II – do valor do imposto retido ou da parcela do imposto retido relativo ao fato gerador presumido não realizado;</w:t>
      </w:r>
      <w:r w:rsidRPr="00726B08">
        <w:rPr>
          <w:rFonts w:ascii="Arial" w:eastAsia="Times New Roman" w:hAnsi="Arial" w:cs="Arial"/>
          <w:kern w:val="0"/>
        </w:rPr>
        <w:br/>
        <w:t>III – do valor do imposto retido ou da parcela do imposto retido relativo ao valor acrescido, referente à saída que promover ou à saída subsequente amparada por isenção ou não-</w:t>
      </w:r>
      <w:r w:rsidRPr="00726B08">
        <w:rPr>
          <w:rFonts w:ascii="Arial" w:eastAsia="Times New Roman" w:hAnsi="Arial" w:cs="Arial"/>
          <w:kern w:val="0"/>
        </w:rPr>
        <w:lastRenderedPageBreak/>
        <w:t>incidência;</w:t>
      </w:r>
      <w:r w:rsidRPr="00726B08">
        <w:rPr>
          <w:rFonts w:ascii="Arial" w:eastAsia="Times New Roman" w:hAnsi="Arial" w:cs="Arial"/>
          <w:kern w:val="0"/>
        </w:rPr>
        <w:br/>
        <w:t>IV – do valor do imposto retido ou da parcela do imposto retido em favor deste Estado, referente a operação subsequente, quando promover saída destinada a outro Estado.”</w:t>
      </w:r>
    </w:p>
    <w:p w:rsidR="006400F0" w:rsidRPr="006400F0" w:rsidRDefault="006400F0" w:rsidP="006400F0">
      <w:pPr>
        <w:pStyle w:val="NormalWeb"/>
        <w:rPr>
          <w:rFonts w:ascii="Arial" w:hAnsi="Arial" w:cs="Arial"/>
        </w:rPr>
      </w:pPr>
      <w:bookmarkStart w:id="0" w:name="_GoBack"/>
      <w:r w:rsidRPr="006400F0">
        <w:rPr>
          <w:rFonts w:ascii="Arial" w:hAnsi="Arial" w:cs="Arial"/>
        </w:rPr>
        <w:t>O estabelecimento com direito ao ressarcimento do imposto retido por substituição tributária ou antecipado, nos termos do artigo 269, ou obrigação do complemento previsto no artigo 265, ambos do Regulamento Paulista, para efeito de apuração do imposto a ser ressarcido ou complementado, deverá compor as informações instituídas no sistema definido em Manual específico publicado pela SEFAZ/SP e conforme as regras da Portaria CAT n. 42/2018.</w:t>
      </w:r>
    </w:p>
    <w:p w:rsidR="006400F0" w:rsidRPr="006400F0" w:rsidRDefault="006400F0" w:rsidP="006400F0">
      <w:pPr>
        <w:pStyle w:val="NormalWeb"/>
        <w:rPr>
          <w:rFonts w:ascii="Arial" w:hAnsi="Arial" w:cs="Arial"/>
        </w:rPr>
      </w:pPr>
      <w:r w:rsidRPr="006400F0">
        <w:rPr>
          <w:rFonts w:ascii="Arial" w:hAnsi="Arial" w:cs="Arial"/>
        </w:rPr>
        <w:t>Ocorre que o Fisco paulista tinha manifestado entendimento (por meio do comunicado CAT 06/2018) que para o inciso I do Artigo 269 do RICMS/SP somente haverá direito ao ressarcimento do imposto pago antecipadamente pelo regime de substituição tributária, em virtude de operação final com mercadoria ou serviço com valor inferior à base de cálculo presumida, nas situações em que o preço final a consumidor, único ou máximo, tenha sido autorizado ou fixado por autoridade competente.</w:t>
      </w:r>
    </w:p>
    <w:p w:rsidR="006400F0" w:rsidRPr="006400F0" w:rsidRDefault="006400F0" w:rsidP="006400F0">
      <w:pPr>
        <w:pStyle w:val="NormalWeb"/>
        <w:rPr>
          <w:rFonts w:ascii="Arial" w:hAnsi="Arial" w:cs="Arial"/>
        </w:rPr>
      </w:pPr>
      <w:r w:rsidRPr="006400F0">
        <w:rPr>
          <w:rFonts w:ascii="Arial" w:hAnsi="Arial" w:cs="Arial"/>
        </w:rPr>
        <w:t>Com isso, o Estado de São Paulo somente estava admitindo o ressarcimento do ICMS nessa hipótese. Na hipótese em que a base de cálculo era estabelecida com base em outros critérios, o Estado de São Paulo não ressarcia os contribuintes.</w:t>
      </w:r>
    </w:p>
    <w:p w:rsidR="006400F0" w:rsidRPr="006400F0" w:rsidRDefault="006400F0" w:rsidP="006400F0">
      <w:pPr>
        <w:pStyle w:val="NormalWeb"/>
        <w:rPr>
          <w:rFonts w:ascii="Arial" w:hAnsi="Arial" w:cs="Arial"/>
        </w:rPr>
      </w:pPr>
      <w:r w:rsidRPr="006400F0">
        <w:rPr>
          <w:rFonts w:ascii="Arial" w:hAnsi="Arial" w:cs="Arial"/>
        </w:rPr>
        <w:t>Importante destacar que esse entendimento aplicado pelo Fisco Paulista, contrariava os RE 593.849/MG e ADI 2777/SP que tinham a seguinte premissa</w:t>
      </w:r>
      <w:r w:rsidRPr="006400F0">
        <w:rPr>
          <w:rStyle w:val="Forte"/>
          <w:rFonts w:ascii="Arial" w:hAnsi="Arial" w:cs="Arial"/>
        </w:rPr>
        <w:t xml:space="preserve">: caso não ocorra o fato gerador no valor presumido, o Estado tem o dever de restituir o montante pago a maior, por não ter competência constitucional para a retenção da diferença, sob pena de violação ao princípio constitucional da vedação ao confisco; gerando assim milhares de ações no </w:t>
      </w:r>
      <w:r w:rsidRPr="006400F0">
        <w:rPr>
          <w:rFonts w:ascii="Arial" w:hAnsi="Arial" w:cs="Arial"/>
        </w:rPr>
        <w:t>Judiciário de SP, e o TJSP tem decidido que a condição estabelecida pelo art. 66-B, § 3º, incluído pela Lei 13.291/08 que limita o direito à restituição e é incompatível com o decidido no RE 593.849/MG.</w:t>
      </w:r>
    </w:p>
    <w:p w:rsidR="006400F0" w:rsidRPr="006400F0" w:rsidRDefault="006400F0" w:rsidP="006400F0">
      <w:pPr>
        <w:pStyle w:val="NormalWeb"/>
        <w:rPr>
          <w:rFonts w:ascii="Arial" w:hAnsi="Arial" w:cs="Arial"/>
        </w:rPr>
      </w:pPr>
      <w:r w:rsidRPr="006400F0">
        <w:rPr>
          <w:rFonts w:ascii="Arial" w:hAnsi="Arial" w:cs="Arial"/>
        </w:rPr>
        <w:t xml:space="preserve">Agora, com a publicação do Comunicado CAT 14/2018, a Sefaz emite novo esclarecimento sobre o ressarcimento do ICMS devido por </w:t>
      </w:r>
      <w:hyperlink r:id="rId9" w:tgtFrame="_blank" w:history="1">
        <w:r w:rsidRPr="006400F0">
          <w:rPr>
            <w:rStyle w:val="Forte"/>
            <w:rFonts w:ascii="Arial" w:hAnsi="Arial" w:cs="Arial"/>
            <w:color w:val="0000FF"/>
            <w:u w:val="single"/>
          </w:rPr>
          <w:t>substituição tributária</w:t>
        </w:r>
      </w:hyperlink>
      <w:r w:rsidRPr="006400F0">
        <w:rPr>
          <w:rFonts w:ascii="Arial" w:hAnsi="Arial" w:cs="Arial"/>
        </w:rPr>
        <w:t>, em face das decisões proferidas pelo Supremo Tribunal Federal no Recurso Extraordinário 593.849 e na Ação Direta de Inconstitucionalidade 2.777, vejamos:</w:t>
      </w:r>
    </w:p>
    <w:p w:rsidR="006400F0" w:rsidRPr="006400F0" w:rsidRDefault="006400F0" w:rsidP="006400F0">
      <w:pPr>
        <w:pStyle w:val="NormalWeb"/>
        <w:rPr>
          <w:rFonts w:ascii="Arial" w:hAnsi="Arial" w:cs="Arial"/>
        </w:rPr>
      </w:pPr>
      <w:r w:rsidRPr="006400F0">
        <w:rPr>
          <w:rStyle w:val="nfase"/>
          <w:rFonts w:ascii="Arial" w:hAnsi="Arial" w:cs="Arial"/>
        </w:rPr>
        <w:t>“Considerando o disposto nas decisões proferidas pelo Supremo Tribunal Federal no Recurso Extraordinário 593.849 e na Ação Direta de Inconstitucionalidade 2.777;</w:t>
      </w:r>
    </w:p>
    <w:p w:rsidR="006400F0" w:rsidRPr="006400F0" w:rsidRDefault="006400F0" w:rsidP="006400F0">
      <w:pPr>
        <w:pStyle w:val="NormalWeb"/>
        <w:rPr>
          <w:rFonts w:ascii="Arial" w:hAnsi="Arial" w:cs="Arial"/>
        </w:rPr>
      </w:pPr>
      <w:r w:rsidRPr="006400F0">
        <w:rPr>
          <w:rStyle w:val="nfase"/>
          <w:rFonts w:ascii="Arial" w:hAnsi="Arial" w:cs="Arial"/>
        </w:rPr>
        <w:t>Considerando que é competência da PGE/SP, dentre outras, definir, previamente, a forma de cumprimento de decisões judiciais e promover a uniformização da jurisprudência administrativa e da interpretação das normas, tanto na Administração Direta como na Indireta, conforme artigo 3º, incisos XI e XIII, da Lei Complementar estadual 1.270/2015,</w:t>
      </w:r>
    </w:p>
    <w:p w:rsidR="006400F0" w:rsidRPr="006400F0" w:rsidRDefault="006400F0" w:rsidP="006400F0">
      <w:pPr>
        <w:pStyle w:val="NormalWeb"/>
        <w:rPr>
          <w:rFonts w:ascii="Arial" w:hAnsi="Arial" w:cs="Arial"/>
        </w:rPr>
      </w:pPr>
      <w:r w:rsidRPr="006400F0">
        <w:rPr>
          <w:rStyle w:val="nfase"/>
          <w:rFonts w:ascii="Arial" w:hAnsi="Arial" w:cs="Arial"/>
        </w:rPr>
        <w:t>Comunica que, conforme manifestação complementar da PGE/SP, depois do julgamento da Ação Direta de Inconstitucionalidade 2.777 e do Recurso Extraordinário 593.849, ficou sedimentado o entendimento de que o artigo 66-B, II, da Lei 6.374/89, julgado constitucional sem qualquer menção ao seu novo § 3º, deve ser aplicado pela Administração.</w:t>
      </w:r>
    </w:p>
    <w:p w:rsidR="006400F0" w:rsidRPr="006400F0" w:rsidRDefault="006400F0" w:rsidP="006400F0">
      <w:pPr>
        <w:pStyle w:val="NormalWeb"/>
        <w:rPr>
          <w:rFonts w:ascii="Arial" w:hAnsi="Arial" w:cs="Arial"/>
        </w:rPr>
      </w:pPr>
      <w:r w:rsidRPr="006400F0">
        <w:rPr>
          <w:rStyle w:val="nfase"/>
          <w:rFonts w:ascii="Arial" w:hAnsi="Arial" w:cs="Arial"/>
        </w:rPr>
        <w:lastRenderedPageBreak/>
        <w:t>Para o ressarcimento do ICMS pago antecipadamente pelo regime de substituição tributária, em decorrência de hipótese prevista no artigo 66-B, II, da Lei 6.374/89, será admitido pedido referente a período posterior a 19-10-2016, data em que foram tornadas públicas as decisões do Supremo Tribunal Federal sobre o tema, sendo admitido também pedido de ressarcimento referente a casos pretéritos que já estavam em trâmite judicial na referida data.</w:t>
      </w:r>
    </w:p>
    <w:p w:rsidR="006400F0" w:rsidRPr="006400F0" w:rsidRDefault="006400F0" w:rsidP="006400F0">
      <w:pPr>
        <w:pStyle w:val="NormalWeb"/>
        <w:rPr>
          <w:rFonts w:ascii="Arial" w:hAnsi="Arial" w:cs="Arial"/>
        </w:rPr>
      </w:pPr>
      <w:r w:rsidRPr="006400F0">
        <w:rPr>
          <w:rStyle w:val="nfase"/>
          <w:rFonts w:ascii="Arial" w:hAnsi="Arial" w:cs="Arial"/>
        </w:rPr>
        <w:t>Os pedidos de ressarcimento devem observar a disciplina estabelecida pela Portaria </w:t>
      </w:r>
      <w:hyperlink r:id="rId10" w:tgtFrame="_blank" w:history="1">
        <w:r w:rsidRPr="006400F0">
          <w:rPr>
            <w:rStyle w:val="nfase"/>
            <w:rFonts w:ascii="Arial" w:hAnsi="Arial" w:cs="Arial"/>
            <w:b/>
            <w:bCs/>
            <w:color w:val="0000FF"/>
            <w:u w:val="single"/>
          </w:rPr>
          <w:t>CAT 42</w:t>
        </w:r>
      </w:hyperlink>
      <w:r w:rsidRPr="006400F0">
        <w:rPr>
          <w:rStyle w:val="nfase"/>
          <w:rFonts w:ascii="Arial" w:hAnsi="Arial" w:cs="Arial"/>
        </w:rPr>
        <w:t>, de 21-05-2018.”</w:t>
      </w:r>
    </w:p>
    <w:p w:rsidR="006400F0" w:rsidRPr="006400F0" w:rsidRDefault="006400F0" w:rsidP="006400F0">
      <w:pPr>
        <w:pStyle w:val="NormalWeb"/>
        <w:rPr>
          <w:rFonts w:ascii="Arial" w:hAnsi="Arial" w:cs="Arial"/>
        </w:rPr>
      </w:pPr>
      <w:r w:rsidRPr="006400F0">
        <w:rPr>
          <w:rFonts w:ascii="Arial" w:hAnsi="Arial" w:cs="Arial"/>
        </w:rPr>
        <w:t>Assim, a partir de agora, o Estado de SP vai ressarcir os ICMS em todas as hipóteses, desde 19 de outubro de 2016, data em que foram tornadas públicas as decisões do Supremo Tribunal Federal sobre o tema, sendo admitido também pedido de ressarcimento referente a casos pretéritos que já estavam em trâmite judicial na referida data.</w:t>
      </w:r>
    </w:p>
    <w:p w:rsidR="006400F0" w:rsidRPr="006400F0" w:rsidRDefault="006400F0" w:rsidP="006400F0">
      <w:pPr>
        <w:pStyle w:val="NormalWeb"/>
        <w:rPr>
          <w:rFonts w:ascii="Arial" w:hAnsi="Arial" w:cs="Arial"/>
        </w:rPr>
      </w:pPr>
      <w:r w:rsidRPr="006400F0">
        <w:rPr>
          <w:rFonts w:ascii="Arial" w:hAnsi="Arial" w:cs="Arial"/>
        </w:rPr>
        <w:t>Essa alteração traz mais uma oportunidade para o contribuinte buscar créditos tributários que lhe são de direito, e o Fisco, em uma posição arbitrária, não admitia.</w:t>
      </w:r>
    </w:p>
    <w:p w:rsidR="006236E6" w:rsidRPr="006400F0" w:rsidRDefault="006236E6" w:rsidP="00726B08">
      <w:pPr>
        <w:pStyle w:val="NormalWeb"/>
        <w:rPr>
          <w:rFonts w:ascii="Arial" w:hAnsi="Arial" w:cs="Arial"/>
        </w:rPr>
      </w:pPr>
    </w:p>
    <w:bookmarkEnd w:id="0"/>
    <w:p w:rsidR="006236E6" w:rsidRPr="00635C61" w:rsidRDefault="006236E6" w:rsidP="006236E6">
      <w:pPr>
        <w:pStyle w:val="NormalWeb"/>
        <w:rPr>
          <w:rFonts w:ascii="Arial" w:hAnsi="Arial" w:cs="Arial"/>
        </w:rPr>
      </w:pPr>
    </w:p>
    <w:sectPr w:rsidR="006236E6" w:rsidRPr="00635C61">
      <w:headerReference w:type="default" r:id="rId11"/>
      <w:footerReference w:type="default" r:id="rId12"/>
      <w:pgSz w:w="11905" w:h="16837"/>
      <w:pgMar w:top="649" w:right="819" w:bottom="406" w:left="989" w:header="749" w:footer="749" w:gutter="0"/>
      <w:pgBorders>
        <w:top w:val="single" w:sz="2" w:space="1" w:color="000000"/>
        <w:left w:val="single" w:sz="2" w:space="1" w:color="000000"/>
        <w:bottom w:val="single" w:sz="2" w:space="1" w:color="000000"/>
        <w:right w:val="single" w:sz="2" w:space="1" w:color="000000"/>
      </w:pgBorders>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DA9" w:rsidRDefault="008F1DA9">
      <w:r>
        <w:separator/>
      </w:r>
    </w:p>
  </w:endnote>
  <w:endnote w:type="continuationSeparator" w:id="0">
    <w:p w:rsidR="008F1DA9" w:rsidRDefault="008F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95" w:type="dxa"/>
      <w:tblInd w:w="31"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1470"/>
      <w:gridCol w:w="3315"/>
      <w:gridCol w:w="3975"/>
      <w:gridCol w:w="1335"/>
    </w:tblGrid>
    <w:tr w:rsidR="00900B70">
      <w:tc>
        <w:tcPr>
          <w:tcW w:w="1470" w:type="dxa"/>
          <w:tcBorders>
            <w:top w:val="single" w:sz="4" w:space="0" w:color="000000"/>
            <w:left w:val="single" w:sz="4" w:space="0" w:color="000000"/>
            <w:bottom w:val="single" w:sz="4" w:space="0" w:color="000000"/>
          </w:tcBorders>
          <w:shd w:val="clear" w:color="auto" w:fill="auto"/>
        </w:tcPr>
        <w:p w:rsidR="00900B70" w:rsidRDefault="00187C28">
          <w:pPr>
            <w:pStyle w:val="Contedodatabela"/>
            <w:tabs>
              <w:tab w:val="left" w:leader="dot" w:pos="10205"/>
            </w:tabs>
            <w:jc w:val="left"/>
            <w:rPr>
              <w:sz w:val="16"/>
              <w:szCs w:val="16"/>
            </w:rPr>
          </w:pPr>
          <w:r>
            <w:rPr>
              <w:sz w:val="16"/>
              <w:szCs w:val="16"/>
            </w:rPr>
            <w:t>Data: 15/07</w:t>
          </w:r>
          <w:r w:rsidR="00F059EE">
            <w:rPr>
              <w:sz w:val="16"/>
              <w:szCs w:val="16"/>
            </w:rPr>
            <w:t>/2019</w:t>
          </w:r>
        </w:p>
      </w:tc>
      <w:tc>
        <w:tcPr>
          <w:tcW w:w="3315" w:type="dxa"/>
          <w:tcBorders>
            <w:top w:val="single" w:sz="4" w:space="0" w:color="000000"/>
            <w:left w:val="single" w:sz="4" w:space="0" w:color="000000"/>
            <w:bottom w:val="single" w:sz="4" w:space="0" w:color="000000"/>
          </w:tcBorders>
          <w:shd w:val="clear" w:color="auto" w:fill="auto"/>
        </w:tcPr>
        <w:p w:rsidR="00900B70" w:rsidRDefault="00F059EE">
          <w:pPr>
            <w:pStyle w:val="Contedodatabela"/>
            <w:jc w:val="left"/>
            <w:rPr>
              <w:sz w:val="16"/>
              <w:szCs w:val="16"/>
            </w:rPr>
          </w:pPr>
          <w:r>
            <w:rPr>
              <w:sz w:val="16"/>
              <w:szCs w:val="16"/>
            </w:rPr>
            <w:t>Elaborador: Adalberto (WAFX)</w:t>
          </w:r>
        </w:p>
      </w:tc>
      <w:tc>
        <w:tcPr>
          <w:tcW w:w="3975" w:type="dxa"/>
          <w:tcBorders>
            <w:top w:val="single" w:sz="4" w:space="0" w:color="000000"/>
            <w:left w:val="single" w:sz="4" w:space="0" w:color="000000"/>
            <w:bottom w:val="single" w:sz="4" w:space="0" w:color="000000"/>
          </w:tcBorders>
          <w:shd w:val="clear" w:color="auto" w:fill="auto"/>
        </w:tcPr>
        <w:p w:rsidR="00900B70" w:rsidRDefault="00F059EE">
          <w:pPr>
            <w:pStyle w:val="Contedodatabela"/>
            <w:jc w:val="left"/>
            <w:rPr>
              <w:sz w:val="16"/>
              <w:szCs w:val="16"/>
            </w:rPr>
          </w:pPr>
          <w:r>
            <w:rPr>
              <w:sz w:val="16"/>
              <w:szCs w:val="16"/>
            </w:rPr>
            <w:t>Revisor:</w:t>
          </w:r>
        </w:p>
      </w:tc>
      <w:tc>
        <w:tcPr>
          <w:tcW w:w="1335" w:type="dxa"/>
          <w:tcBorders>
            <w:top w:val="single" w:sz="4" w:space="0" w:color="000000"/>
            <w:left w:val="single" w:sz="4" w:space="0" w:color="000000"/>
            <w:bottom w:val="single" w:sz="4" w:space="0" w:color="000000"/>
            <w:right w:val="single" w:sz="4" w:space="0" w:color="000000"/>
          </w:tcBorders>
          <w:shd w:val="clear" w:color="auto" w:fill="auto"/>
        </w:tcPr>
        <w:p w:rsidR="00900B70" w:rsidRDefault="00F059EE">
          <w:pPr>
            <w:pStyle w:val="Contedodatabela"/>
            <w:jc w:val="left"/>
            <w:rPr>
              <w:sz w:val="16"/>
              <w:szCs w:val="16"/>
            </w:rPr>
          </w:pPr>
          <w:r>
            <w:rPr>
              <w:sz w:val="16"/>
              <w:szCs w:val="16"/>
            </w:rPr>
            <w:t>Revisão:  1.0</w:t>
          </w:r>
        </w:p>
      </w:tc>
    </w:tr>
    <w:tr w:rsidR="00900B70">
      <w:tc>
        <w:tcPr>
          <w:tcW w:w="8760" w:type="dxa"/>
          <w:gridSpan w:val="3"/>
          <w:tcBorders>
            <w:left w:val="single" w:sz="4" w:space="0" w:color="000000"/>
            <w:bottom w:val="single" w:sz="4" w:space="0" w:color="000000"/>
          </w:tcBorders>
          <w:shd w:val="clear" w:color="auto" w:fill="auto"/>
        </w:tcPr>
        <w:p w:rsidR="00900B70" w:rsidRDefault="00187C28" w:rsidP="00187C28">
          <w:pPr>
            <w:pStyle w:val="Contedodatabela"/>
            <w:jc w:val="left"/>
          </w:pPr>
          <w:r>
            <w:rPr>
              <w:sz w:val="16"/>
              <w:szCs w:val="16"/>
            </w:rPr>
            <w:t>Arquivo:c:\linx\demandas\modasp2413\O_que_e_ressarcimento.docx</w:t>
          </w:r>
        </w:p>
      </w:tc>
      <w:tc>
        <w:tcPr>
          <w:tcW w:w="1335" w:type="dxa"/>
          <w:tcBorders>
            <w:left w:val="single" w:sz="4" w:space="0" w:color="000000"/>
            <w:bottom w:val="single" w:sz="4" w:space="0" w:color="000000"/>
            <w:right w:val="single" w:sz="4" w:space="0" w:color="000000"/>
          </w:tcBorders>
          <w:shd w:val="clear" w:color="auto" w:fill="auto"/>
        </w:tcPr>
        <w:p w:rsidR="00900B70" w:rsidRDefault="00F059EE">
          <w:pPr>
            <w:pStyle w:val="Contedodatabela"/>
            <w:tabs>
              <w:tab w:val="left" w:pos="930"/>
            </w:tabs>
            <w:jc w:val="left"/>
          </w:pPr>
          <w:r>
            <w:rPr>
              <w:sz w:val="16"/>
              <w:szCs w:val="16"/>
            </w:rPr>
            <w:t xml:space="preserve">Página:    </w:t>
          </w:r>
          <w:r>
            <w:rPr>
              <w:sz w:val="16"/>
              <w:szCs w:val="16"/>
            </w:rPr>
            <w:fldChar w:fldCharType="begin"/>
          </w:r>
          <w:r>
            <w:rPr>
              <w:sz w:val="16"/>
              <w:szCs w:val="16"/>
            </w:rPr>
            <w:instrText>PAGE</w:instrText>
          </w:r>
          <w:r>
            <w:rPr>
              <w:sz w:val="16"/>
              <w:szCs w:val="16"/>
            </w:rPr>
            <w:fldChar w:fldCharType="separate"/>
          </w:r>
          <w:r w:rsidR="006400F0">
            <w:rPr>
              <w:noProof/>
              <w:sz w:val="16"/>
              <w:szCs w:val="16"/>
            </w:rPr>
            <w:t>3</w:t>
          </w:r>
          <w:r>
            <w:rPr>
              <w:sz w:val="16"/>
              <w:szCs w:val="16"/>
            </w:rPr>
            <w:fldChar w:fldCharType="end"/>
          </w:r>
          <w:r>
            <w:rPr>
              <w:sz w:val="16"/>
              <w:szCs w:val="16"/>
            </w:rPr>
            <w:t>/</w:t>
          </w:r>
          <w:r>
            <w:rPr>
              <w:sz w:val="16"/>
              <w:szCs w:val="16"/>
            </w:rPr>
            <w:fldChar w:fldCharType="begin"/>
          </w:r>
          <w:r>
            <w:rPr>
              <w:sz w:val="16"/>
              <w:szCs w:val="16"/>
            </w:rPr>
            <w:instrText>NUMPAGES</w:instrText>
          </w:r>
          <w:r>
            <w:rPr>
              <w:sz w:val="16"/>
              <w:szCs w:val="16"/>
            </w:rPr>
            <w:fldChar w:fldCharType="separate"/>
          </w:r>
          <w:r w:rsidR="006400F0">
            <w:rPr>
              <w:noProof/>
              <w:sz w:val="16"/>
              <w:szCs w:val="16"/>
            </w:rPr>
            <w:t>3</w:t>
          </w:r>
          <w:r>
            <w:rPr>
              <w:sz w:val="16"/>
              <w:szCs w:val="16"/>
            </w:rPr>
            <w:fldChar w:fldCharType="end"/>
          </w:r>
        </w:p>
      </w:tc>
    </w:tr>
  </w:tbl>
  <w:p w:rsidR="00900B70" w:rsidRDefault="00900B70">
    <w:pPr>
      <w:pStyle w:val="Rodap"/>
      <w:rPr>
        <w:sz w:val="4"/>
        <w:szCs w:val="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DA9" w:rsidRDefault="008F1DA9">
      <w:r>
        <w:separator/>
      </w:r>
    </w:p>
  </w:footnote>
  <w:footnote w:type="continuationSeparator" w:id="0">
    <w:p w:rsidR="008F1DA9" w:rsidRDefault="008F1D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Ind w:w="31"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1076"/>
      <w:gridCol w:w="8959"/>
    </w:tblGrid>
    <w:tr w:rsidR="00900B70">
      <w:trPr>
        <w:trHeight w:val="260"/>
      </w:trPr>
      <w:tc>
        <w:tcPr>
          <w:tcW w:w="1020" w:type="dxa"/>
          <w:vMerge w:val="restart"/>
          <w:tcBorders>
            <w:top w:val="single" w:sz="4" w:space="0" w:color="000000"/>
            <w:left w:val="single" w:sz="4" w:space="0" w:color="000000"/>
            <w:bottom w:val="single" w:sz="4" w:space="0" w:color="000000"/>
          </w:tcBorders>
          <w:shd w:val="clear" w:color="auto" w:fill="auto"/>
        </w:tcPr>
        <w:p w:rsidR="00900B70" w:rsidRDefault="00F059EE">
          <w:pPr>
            <w:pStyle w:val="Contedodatabela"/>
            <w:rPr>
              <w:sz w:val="4"/>
              <w:szCs w:val="4"/>
            </w:rPr>
          </w:pPr>
          <w:r>
            <w:rPr>
              <w:noProof/>
              <w:sz w:val="4"/>
              <w:szCs w:val="4"/>
            </w:rPr>
            <w:drawing>
              <wp:anchor distT="0" distB="0" distL="0" distR="0" simplePos="0" relativeHeight="2" behindDoc="0" locked="0" layoutInCell="1" allowOverlap="1">
                <wp:simplePos x="0" y="0"/>
                <wp:positionH relativeFrom="column">
                  <wp:posOffset>-9525</wp:posOffset>
                </wp:positionH>
                <wp:positionV relativeFrom="paragraph">
                  <wp:posOffset>19050</wp:posOffset>
                </wp:positionV>
                <wp:extent cx="616585" cy="616585"/>
                <wp:effectExtent l="0" t="0" r="0" b="0"/>
                <wp:wrapSquare wrapText="bothSides"/>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1"/>
                        <a:stretch>
                          <a:fillRect/>
                        </a:stretch>
                      </pic:blipFill>
                      <pic:spPr bwMode="auto">
                        <a:xfrm>
                          <a:off x="0" y="0"/>
                          <a:ext cx="616585" cy="616585"/>
                        </a:xfrm>
                        <a:prstGeom prst="rect">
                          <a:avLst/>
                        </a:prstGeom>
                      </pic:spPr>
                    </pic:pic>
                  </a:graphicData>
                </a:graphic>
              </wp:anchor>
            </w:drawing>
          </w:r>
        </w:p>
      </w:tc>
      <w:tc>
        <w:tcPr>
          <w:tcW w:w="90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B70" w:rsidRDefault="00F059EE">
          <w:pPr>
            <w:pStyle w:val="Contedodatabela"/>
            <w:jc w:val="left"/>
            <w:rPr>
              <w:b/>
              <w:bCs/>
              <w:sz w:val="12"/>
              <w:szCs w:val="12"/>
            </w:rPr>
          </w:pPr>
          <w:r>
            <w:rPr>
              <w:b/>
              <w:bCs/>
              <w:sz w:val="12"/>
              <w:szCs w:val="12"/>
            </w:rPr>
            <w:t>Sitema:</w:t>
          </w:r>
        </w:p>
        <w:p w:rsidR="00900B70" w:rsidRDefault="00F059EE">
          <w:pPr>
            <w:pStyle w:val="Contedodatabela"/>
            <w:jc w:val="center"/>
            <w:rPr>
              <w:b/>
              <w:bCs/>
            </w:rPr>
          </w:pPr>
          <w:r>
            <w:rPr>
              <w:b/>
              <w:bCs/>
            </w:rPr>
            <w:t>Linx ERP – P&amp;D Modas</w:t>
          </w:r>
        </w:p>
      </w:tc>
    </w:tr>
    <w:tr w:rsidR="00900B70">
      <w:trPr>
        <w:trHeight w:val="610"/>
      </w:trPr>
      <w:tc>
        <w:tcPr>
          <w:tcW w:w="1020" w:type="dxa"/>
          <w:vMerge/>
          <w:tcBorders>
            <w:top w:val="single" w:sz="4" w:space="0" w:color="000000"/>
            <w:left w:val="single" w:sz="4" w:space="0" w:color="000000"/>
            <w:bottom w:val="single" w:sz="4" w:space="0" w:color="000000"/>
          </w:tcBorders>
          <w:shd w:val="clear" w:color="auto" w:fill="auto"/>
        </w:tcPr>
        <w:p w:rsidR="00900B70" w:rsidRDefault="00900B70"/>
      </w:tc>
      <w:tc>
        <w:tcPr>
          <w:tcW w:w="9015" w:type="dxa"/>
          <w:tcBorders>
            <w:left w:val="single" w:sz="4" w:space="0" w:color="000000"/>
            <w:bottom w:val="single" w:sz="4" w:space="0" w:color="000000"/>
            <w:right w:val="single" w:sz="4" w:space="0" w:color="000000"/>
          </w:tcBorders>
          <w:shd w:val="clear" w:color="auto" w:fill="auto"/>
          <w:vAlign w:val="center"/>
        </w:tcPr>
        <w:p w:rsidR="00900B70" w:rsidRDefault="00F059EE">
          <w:pPr>
            <w:pStyle w:val="Contedodatabela"/>
            <w:jc w:val="left"/>
            <w:rPr>
              <w:b/>
              <w:bCs/>
              <w:sz w:val="12"/>
              <w:szCs w:val="12"/>
            </w:rPr>
          </w:pPr>
          <w:r>
            <w:rPr>
              <w:b/>
              <w:bCs/>
              <w:sz w:val="12"/>
              <w:szCs w:val="12"/>
            </w:rPr>
            <w:t>Titulo:</w:t>
          </w:r>
        </w:p>
        <w:p w:rsidR="00900B70" w:rsidRDefault="002003AA">
          <w:pPr>
            <w:pStyle w:val="Contedodatabela"/>
            <w:jc w:val="center"/>
            <w:rPr>
              <w:b/>
              <w:bCs/>
            </w:rPr>
          </w:pPr>
          <w:r>
            <w:rPr>
              <w:b/>
              <w:bCs/>
            </w:rPr>
            <w:t>O que é o Ressarcimento ICMS ST</w:t>
          </w:r>
          <w:r w:rsidR="008049B2">
            <w:rPr>
              <w:b/>
              <w:bCs/>
            </w:rPr>
            <w:t xml:space="preserve"> </w:t>
          </w:r>
          <w:r>
            <w:rPr>
              <w:b/>
              <w:bCs/>
            </w:rPr>
            <w:t>?</w:t>
          </w:r>
        </w:p>
      </w:tc>
    </w:tr>
  </w:tbl>
  <w:p w:rsidR="00900B70" w:rsidRDefault="00900B70">
    <w:pPr>
      <w:pStyle w:val="Cabealho"/>
      <w:rPr>
        <w:sz w:val="4"/>
        <w:szCs w:val="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2DC3"/>
    <w:multiLevelType w:val="multilevel"/>
    <w:tmpl w:val="A036D8F4"/>
    <w:lvl w:ilvl="0">
      <w:start w:val="1"/>
      <w:numFmt w:val="none"/>
      <w:pStyle w:val="Ttulo1"/>
      <w:suff w:val="nothing"/>
      <w:lvlText w:val=""/>
      <w:lvlJc w:val="left"/>
      <w:pPr>
        <w:ind w:left="0" w:firstLine="0"/>
      </w:pPr>
    </w:lvl>
    <w:lvl w:ilvl="1">
      <w:start w:val="1"/>
      <w:numFmt w:val="none"/>
      <w:suff w:val="nothing"/>
      <w:lvlText w:val=""/>
      <w:lvlJc w:val="left"/>
      <w:pPr>
        <w:ind w:left="0" w:firstLine="0"/>
      </w:pPr>
    </w:lvl>
    <w:lvl w:ilvl="2">
      <w:start w:val="1"/>
      <w:numFmt w:val="none"/>
      <w:pStyle w:val="Ttu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1B04ED4"/>
    <w:multiLevelType w:val="hybridMultilevel"/>
    <w:tmpl w:val="D6C252F2"/>
    <w:lvl w:ilvl="0" w:tplc="81B43F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E7658C8"/>
    <w:multiLevelType w:val="multilevel"/>
    <w:tmpl w:val="554A4D36"/>
    <w:lvl w:ilvl="0">
      <w:start w:val="1"/>
      <w:numFmt w:val="decimal"/>
      <w:lvlText w:val="%1."/>
      <w:lvlJc w:val="left"/>
      <w:pPr>
        <w:tabs>
          <w:tab w:val="num" w:pos="720"/>
        </w:tabs>
        <w:ind w:left="720" w:hanging="360"/>
      </w:pPr>
      <w:rPr>
        <w:rFonts w:ascii="Calibri" w:hAnsi="Calibri"/>
        <w:u w:val="none"/>
      </w:rPr>
    </w:lvl>
    <w:lvl w:ilvl="1">
      <w:start w:val="1"/>
      <w:numFmt w:val="decimal"/>
      <w:lvlText w:val="%2."/>
      <w:lvlJc w:val="left"/>
      <w:pPr>
        <w:tabs>
          <w:tab w:val="num" w:pos="1080"/>
        </w:tabs>
        <w:ind w:left="1080" w:hanging="360"/>
      </w:pPr>
      <w:rPr>
        <w:rFonts w:ascii="Calibri" w:hAnsi="Calibri"/>
        <w:u w:val="none"/>
      </w:rPr>
    </w:lvl>
    <w:lvl w:ilvl="2">
      <w:start w:val="1"/>
      <w:numFmt w:val="decimal"/>
      <w:lvlText w:val="%3."/>
      <w:lvlJc w:val="left"/>
      <w:pPr>
        <w:tabs>
          <w:tab w:val="num" w:pos="1440"/>
        </w:tabs>
        <w:ind w:left="1440" w:hanging="360"/>
      </w:pPr>
      <w:rPr>
        <w:rFonts w:ascii="Calibri" w:hAnsi="Calibri"/>
        <w:u w:val="none"/>
      </w:rPr>
    </w:lvl>
    <w:lvl w:ilvl="3">
      <w:start w:val="1"/>
      <w:numFmt w:val="decimal"/>
      <w:lvlText w:val="%4."/>
      <w:lvlJc w:val="left"/>
      <w:pPr>
        <w:tabs>
          <w:tab w:val="num" w:pos="1800"/>
        </w:tabs>
        <w:ind w:left="1800" w:hanging="360"/>
      </w:pPr>
      <w:rPr>
        <w:rFonts w:ascii="Calibri" w:hAnsi="Calibri"/>
        <w:u w:val="none"/>
      </w:rPr>
    </w:lvl>
    <w:lvl w:ilvl="4">
      <w:start w:val="1"/>
      <w:numFmt w:val="decimal"/>
      <w:lvlText w:val="%5."/>
      <w:lvlJc w:val="left"/>
      <w:pPr>
        <w:tabs>
          <w:tab w:val="num" w:pos="2160"/>
        </w:tabs>
        <w:ind w:left="2160" w:hanging="360"/>
      </w:pPr>
      <w:rPr>
        <w:rFonts w:ascii="Calibri" w:hAnsi="Calibri"/>
        <w:u w:val="none"/>
      </w:rPr>
    </w:lvl>
    <w:lvl w:ilvl="5">
      <w:start w:val="1"/>
      <w:numFmt w:val="decimal"/>
      <w:lvlText w:val="%6."/>
      <w:lvlJc w:val="left"/>
      <w:pPr>
        <w:tabs>
          <w:tab w:val="num" w:pos="2520"/>
        </w:tabs>
        <w:ind w:left="2520" w:hanging="360"/>
      </w:pPr>
      <w:rPr>
        <w:rFonts w:ascii="Calibri" w:hAnsi="Calibri"/>
        <w:u w:val="none"/>
      </w:rPr>
    </w:lvl>
    <w:lvl w:ilvl="6">
      <w:start w:val="1"/>
      <w:numFmt w:val="decimal"/>
      <w:lvlText w:val="%7."/>
      <w:lvlJc w:val="left"/>
      <w:pPr>
        <w:tabs>
          <w:tab w:val="num" w:pos="2880"/>
        </w:tabs>
        <w:ind w:left="2880" w:hanging="360"/>
      </w:pPr>
      <w:rPr>
        <w:rFonts w:ascii="Calibri" w:hAnsi="Calibri"/>
        <w:u w:val="none"/>
      </w:rPr>
    </w:lvl>
    <w:lvl w:ilvl="7">
      <w:start w:val="1"/>
      <w:numFmt w:val="decimal"/>
      <w:lvlText w:val="%8."/>
      <w:lvlJc w:val="left"/>
      <w:pPr>
        <w:tabs>
          <w:tab w:val="num" w:pos="3240"/>
        </w:tabs>
        <w:ind w:left="3240" w:hanging="360"/>
      </w:pPr>
      <w:rPr>
        <w:rFonts w:ascii="Calibri" w:hAnsi="Calibri"/>
        <w:u w:val="none"/>
      </w:rPr>
    </w:lvl>
    <w:lvl w:ilvl="8">
      <w:start w:val="1"/>
      <w:numFmt w:val="decimal"/>
      <w:lvlText w:val="%9."/>
      <w:lvlJc w:val="left"/>
      <w:pPr>
        <w:tabs>
          <w:tab w:val="num" w:pos="3600"/>
        </w:tabs>
        <w:ind w:left="3600" w:hanging="360"/>
      </w:pPr>
      <w:rPr>
        <w:rFonts w:ascii="Calibri" w:hAnsi="Calibri"/>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85"/>
    <w:rsid w:val="00187C28"/>
    <w:rsid w:val="002003AA"/>
    <w:rsid w:val="003D64F6"/>
    <w:rsid w:val="005A4F5B"/>
    <w:rsid w:val="006236E6"/>
    <w:rsid w:val="00635C61"/>
    <w:rsid w:val="006400F0"/>
    <w:rsid w:val="00726B08"/>
    <w:rsid w:val="008049B2"/>
    <w:rsid w:val="008F1DA9"/>
    <w:rsid w:val="00900B70"/>
    <w:rsid w:val="00AF7285"/>
    <w:rsid w:val="00D364D7"/>
    <w:rsid w:val="00F059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2980"/>
  <w15:docId w15:val="{B5C9EBD5-A2C0-47F5-8C4E-83772705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2"/>
        <w:sz w:val="24"/>
        <w:szCs w:val="24"/>
        <w:lang w:val="pt-BR" w:eastAsia="pt-BR"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rPr>
      <w:rFonts w:ascii="Calibri" w:hAnsi="Calibri"/>
    </w:rPr>
  </w:style>
  <w:style w:type="paragraph" w:styleId="Ttulo1">
    <w:name w:val="heading 1"/>
    <w:basedOn w:val="Ttulo"/>
    <w:next w:val="Corpodetexto"/>
    <w:qFormat/>
    <w:pPr>
      <w:numPr>
        <w:numId w:val="1"/>
      </w:numPr>
      <w:outlineLvl w:val="0"/>
    </w:pPr>
    <w:rPr>
      <w:b/>
      <w:bCs/>
    </w:rPr>
  </w:style>
  <w:style w:type="paragraph" w:styleId="Ttulo3">
    <w:name w:val="heading 3"/>
    <w:basedOn w:val="Ttulo"/>
    <w:next w:val="Corpodetexto"/>
    <w:qFormat/>
    <w:pPr>
      <w:numPr>
        <w:ilvl w:val="2"/>
        <w:numId w:val="1"/>
      </w:numPr>
      <w:outlineLvl w:val="2"/>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mbolosdenumerao">
    <w:name w:val="Símbolos de numeração"/>
    <w:qFormat/>
    <w:rPr>
      <w:rFonts w:ascii="Calibri" w:hAnsi="Calibri"/>
      <w:u w:val="none"/>
    </w:rPr>
  </w:style>
  <w:style w:type="character" w:customStyle="1" w:styleId="WWCharLFO1LVL1">
    <w:name w:val="WW_CharLFO1LVL1"/>
    <w:qFormat/>
    <w:rPr>
      <w:rFonts w:ascii="Calibri" w:hAnsi="Calibri"/>
      <w:u w:val="none"/>
    </w:rPr>
  </w:style>
  <w:style w:type="character" w:customStyle="1" w:styleId="WWCharLFO1LVL2">
    <w:name w:val="WW_CharLFO1LVL2"/>
    <w:qFormat/>
    <w:rPr>
      <w:rFonts w:ascii="Calibri" w:hAnsi="Calibri"/>
      <w:u w:val="none"/>
    </w:rPr>
  </w:style>
  <w:style w:type="character" w:customStyle="1" w:styleId="WWCharLFO1LVL3">
    <w:name w:val="WW_CharLFO1LVL3"/>
    <w:qFormat/>
    <w:rPr>
      <w:rFonts w:ascii="Calibri" w:hAnsi="Calibri"/>
      <w:u w:val="none"/>
    </w:rPr>
  </w:style>
  <w:style w:type="character" w:customStyle="1" w:styleId="WWCharLFO1LVL4">
    <w:name w:val="WW_CharLFO1LVL4"/>
    <w:qFormat/>
    <w:rPr>
      <w:rFonts w:ascii="Calibri" w:hAnsi="Calibri"/>
      <w:u w:val="none"/>
    </w:rPr>
  </w:style>
  <w:style w:type="character" w:customStyle="1" w:styleId="WWCharLFO1LVL5">
    <w:name w:val="WW_CharLFO1LVL5"/>
    <w:qFormat/>
    <w:rPr>
      <w:rFonts w:ascii="Calibri" w:hAnsi="Calibri"/>
      <w:u w:val="none"/>
    </w:rPr>
  </w:style>
  <w:style w:type="character" w:customStyle="1" w:styleId="WWCharLFO1LVL6">
    <w:name w:val="WW_CharLFO1LVL6"/>
    <w:qFormat/>
    <w:rPr>
      <w:rFonts w:ascii="Calibri" w:hAnsi="Calibri"/>
      <w:u w:val="none"/>
    </w:rPr>
  </w:style>
  <w:style w:type="character" w:customStyle="1" w:styleId="WWCharLFO1LVL7">
    <w:name w:val="WW_CharLFO1LVL7"/>
    <w:qFormat/>
    <w:rPr>
      <w:rFonts w:ascii="Calibri" w:hAnsi="Calibri"/>
      <w:u w:val="none"/>
    </w:rPr>
  </w:style>
  <w:style w:type="character" w:customStyle="1" w:styleId="WWCharLFO1LVL8">
    <w:name w:val="WW_CharLFO1LVL8"/>
    <w:qFormat/>
    <w:rPr>
      <w:rFonts w:ascii="Calibri" w:hAnsi="Calibri"/>
      <w:u w:val="none"/>
    </w:rPr>
  </w:style>
  <w:style w:type="character" w:customStyle="1" w:styleId="WWCharLFO1LVL9">
    <w:name w:val="WW_CharLFO1LVL9"/>
    <w:qFormat/>
    <w:rPr>
      <w:rFonts w:ascii="Calibri" w:hAnsi="Calibri"/>
      <w:u w:val="none"/>
    </w:rPr>
  </w:style>
  <w:style w:type="character" w:customStyle="1" w:styleId="WWCharLFO2LVL1">
    <w:name w:val="WW_CharLFO2LVL1"/>
    <w:qFormat/>
    <w:rPr>
      <w:rFonts w:ascii="Calibri" w:hAnsi="Calibri"/>
      <w:u w:val="none"/>
    </w:rPr>
  </w:style>
  <w:style w:type="character" w:customStyle="1" w:styleId="WWCharLFO2LVL2">
    <w:name w:val="WW_CharLFO2LVL2"/>
    <w:qFormat/>
    <w:rPr>
      <w:rFonts w:ascii="Calibri" w:hAnsi="Calibri"/>
      <w:u w:val="none"/>
    </w:rPr>
  </w:style>
  <w:style w:type="character" w:customStyle="1" w:styleId="WWCharLFO2LVL3">
    <w:name w:val="WW_CharLFO2LVL3"/>
    <w:qFormat/>
    <w:rPr>
      <w:rFonts w:ascii="Calibri" w:hAnsi="Calibri"/>
      <w:u w:val="none"/>
    </w:rPr>
  </w:style>
  <w:style w:type="character" w:customStyle="1" w:styleId="WWCharLFO2LVL4">
    <w:name w:val="WW_CharLFO2LVL4"/>
    <w:qFormat/>
    <w:rPr>
      <w:rFonts w:ascii="Calibri" w:hAnsi="Calibri"/>
      <w:u w:val="none"/>
    </w:rPr>
  </w:style>
  <w:style w:type="character" w:customStyle="1" w:styleId="WWCharLFO2LVL5">
    <w:name w:val="WW_CharLFO2LVL5"/>
    <w:qFormat/>
    <w:rPr>
      <w:rFonts w:ascii="Calibri" w:hAnsi="Calibri"/>
      <w:u w:val="none"/>
    </w:rPr>
  </w:style>
  <w:style w:type="character" w:customStyle="1" w:styleId="WWCharLFO2LVL6">
    <w:name w:val="WW_CharLFO2LVL6"/>
    <w:qFormat/>
    <w:rPr>
      <w:rFonts w:ascii="Calibri" w:hAnsi="Calibri"/>
      <w:u w:val="none"/>
    </w:rPr>
  </w:style>
  <w:style w:type="character" w:customStyle="1" w:styleId="WWCharLFO2LVL7">
    <w:name w:val="WW_CharLFO2LVL7"/>
    <w:qFormat/>
    <w:rPr>
      <w:rFonts w:ascii="Calibri" w:hAnsi="Calibri"/>
      <w:u w:val="none"/>
    </w:rPr>
  </w:style>
  <w:style w:type="character" w:customStyle="1" w:styleId="WWCharLFO2LVL8">
    <w:name w:val="WW_CharLFO2LVL8"/>
    <w:qFormat/>
    <w:rPr>
      <w:rFonts w:ascii="Calibri" w:hAnsi="Calibri"/>
      <w:u w:val="none"/>
    </w:rPr>
  </w:style>
  <w:style w:type="character" w:customStyle="1" w:styleId="WWCharLFO2LVL9">
    <w:name w:val="WW_CharLFO2LVL9"/>
    <w:qFormat/>
    <w:rPr>
      <w:rFonts w:ascii="Calibri" w:hAnsi="Calibri"/>
      <w:u w:val="none"/>
    </w:rPr>
  </w:style>
  <w:style w:type="character" w:customStyle="1" w:styleId="WWCharLFO3LVL1">
    <w:name w:val="WW_CharLFO3LVL1"/>
    <w:qFormat/>
    <w:rPr>
      <w:rFonts w:ascii="Calibri" w:hAnsi="Calibri"/>
      <w:u w:val="none"/>
    </w:rPr>
  </w:style>
  <w:style w:type="character" w:customStyle="1" w:styleId="WWCharLFO3LVL2">
    <w:name w:val="WW_CharLFO3LVL2"/>
    <w:qFormat/>
    <w:rPr>
      <w:rFonts w:ascii="Calibri" w:hAnsi="Calibri"/>
      <w:u w:val="none"/>
    </w:rPr>
  </w:style>
  <w:style w:type="character" w:customStyle="1" w:styleId="WWCharLFO3LVL3">
    <w:name w:val="WW_CharLFO3LVL3"/>
    <w:qFormat/>
    <w:rPr>
      <w:rFonts w:ascii="Calibri" w:hAnsi="Calibri"/>
      <w:u w:val="none"/>
    </w:rPr>
  </w:style>
  <w:style w:type="character" w:customStyle="1" w:styleId="WWCharLFO3LVL4">
    <w:name w:val="WW_CharLFO3LVL4"/>
    <w:qFormat/>
    <w:rPr>
      <w:rFonts w:ascii="Calibri" w:hAnsi="Calibri"/>
      <w:u w:val="none"/>
    </w:rPr>
  </w:style>
  <w:style w:type="character" w:customStyle="1" w:styleId="WWCharLFO3LVL5">
    <w:name w:val="WW_CharLFO3LVL5"/>
    <w:qFormat/>
    <w:rPr>
      <w:rFonts w:ascii="Calibri" w:hAnsi="Calibri"/>
      <w:u w:val="none"/>
    </w:rPr>
  </w:style>
  <w:style w:type="character" w:customStyle="1" w:styleId="WWCharLFO3LVL6">
    <w:name w:val="WW_CharLFO3LVL6"/>
    <w:qFormat/>
    <w:rPr>
      <w:rFonts w:ascii="Calibri" w:hAnsi="Calibri"/>
      <w:u w:val="none"/>
    </w:rPr>
  </w:style>
  <w:style w:type="character" w:customStyle="1" w:styleId="WWCharLFO3LVL7">
    <w:name w:val="WW_CharLFO3LVL7"/>
    <w:qFormat/>
    <w:rPr>
      <w:rFonts w:ascii="Calibri" w:hAnsi="Calibri"/>
      <w:u w:val="none"/>
    </w:rPr>
  </w:style>
  <w:style w:type="character" w:customStyle="1" w:styleId="WWCharLFO3LVL8">
    <w:name w:val="WW_CharLFO3LVL8"/>
    <w:qFormat/>
    <w:rPr>
      <w:rFonts w:ascii="Calibri" w:hAnsi="Calibri"/>
      <w:u w:val="none"/>
    </w:rPr>
  </w:style>
  <w:style w:type="character" w:customStyle="1" w:styleId="WWCharLFO3LVL9">
    <w:name w:val="WW_CharLFO3LVL9"/>
    <w:qFormat/>
    <w:rPr>
      <w:rFonts w:ascii="Calibri" w:hAnsi="Calibri"/>
      <w:u w:val="none"/>
    </w:rPr>
  </w:style>
  <w:style w:type="character" w:customStyle="1" w:styleId="WWCharLFO4LVL1">
    <w:name w:val="WW_CharLFO4LVL1"/>
    <w:qFormat/>
    <w:rPr>
      <w:rFonts w:ascii="Calibri" w:hAnsi="Calibri"/>
      <w:u w:val="none"/>
    </w:rPr>
  </w:style>
  <w:style w:type="character" w:customStyle="1" w:styleId="WWCharLFO4LVL2">
    <w:name w:val="WW_CharLFO4LVL2"/>
    <w:qFormat/>
    <w:rPr>
      <w:rFonts w:ascii="Calibri" w:hAnsi="Calibri"/>
      <w:u w:val="none"/>
    </w:rPr>
  </w:style>
  <w:style w:type="character" w:customStyle="1" w:styleId="WWCharLFO4LVL3">
    <w:name w:val="WW_CharLFO4LVL3"/>
    <w:qFormat/>
    <w:rPr>
      <w:rFonts w:ascii="Calibri" w:hAnsi="Calibri"/>
      <w:u w:val="none"/>
    </w:rPr>
  </w:style>
  <w:style w:type="character" w:customStyle="1" w:styleId="WWCharLFO4LVL4">
    <w:name w:val="WW_CharLFO4LVL4"/>
    <w:qFormat/>
    <w:rPr>
      <w:rFonts w:ascii="Calibri" w:hAnsi="Calibri"/>
      <w:u w:val="none"/>
    </w:rPr>
  </w:style>
  <w:style w:type="character" w:customStyle="1" w:styleId="WWCharLFO4LVL5">
    <w:name w:val="WW_CharLFO4LVL5"/>
    <w:qFormat/>
    <w:rPr>
      <w:rFonts w:ascii="Calibri" w:hAnsi="Calibri"/>
      <w:u w:val="none"/>
    </w:rPr>
  </w:style>
  <w:style w:type="character" w:customStyle="1" w:styleId="WWCharLFO4LVL6">
    <w:name w:val="WW_CharLFO4LVL6"/>
    <w:qFormat/>
    <w:rPr>
      <w:rFonts w:ascii="Calibri" w:hAnsi="Calibri"/>
      <w:u w:val="none"/>
    </w:rPr>
  </w:style>
  <w:style w:type="character" w:customStyle="1" w:styleId="WWCharLFO4LVL7">
    <w:name w:val="WW_CharLFO4LVL7"/>
    <w:qFormat/>
    <w:rPr>
      <w:rFonts w:ascii="Calibri" w:hAnsi="Calibri"/>
      <w:u w:val="none"/>
    </w:rPr>
  </w:style>
  <w:style w:type="character" w:customStyle="1" w:styleId="WWCharLFO4LVL8">
    <w:name w:val="WW_CharLFO4LVL8"/>
    <w:qFormat/>
    <w:rPr>
      <w:rFonts w:ascii="Calibri" w:hAnsi="Calibri"/>
      <w:u w:val="none"/>
    </w:rPr>
  </w:style>
  <w:style w:type="character" w:customStyle="1" w:styleId="WWCharLFO4LVL9">
    <w:name w:val="WW_CharLFO4LVL9"/>
    <w:qFormat/>
    <w:rPr>
      <w:rFonts w:ascii="Calibri" w:hAnsi="Calibri"/>
      <w:u w:val="none"/>
    </w:rPr>
  </w:style>
  <w:style w:type="character" w:customStyle="1" w:styleId="WWCharLFO5LVL1">
    <w:name w:val="WW_CharLFO5LVL1"/>
    <w:qFormat/>
    <w:rPr>
      <w:rFonts w:ascii="Calibri" w:hAnsi="Calibri"/>
      <w:u w:val="none"/>
    </w:rPr>
  </w:style>
  <w:style w:type="character" w:customStyle="1" w:styleId="WWCharLFO5LVL2">
    <w:name w:val="WW_CharLFO5LVL2"/>
    <w:qFormat/>
    <w:rPr>
      <w:rFonts w:ascii="Calibri" w:hAnsi="Calibri"/>
      <w:u w:val="none"/>
    </w:rPr>
  </w:style>
  <w:style w:type="character" w:customStyle="1" w:styleId="WWCharLFO5LVL3">
    <w:name w:val="WW_CharLFO5LVL3"/>
    <w:qFormat/>
    <w:rPr>
      <w:rFonts w:ascii="Calibri" w:hAnsi="Calibri"/>
      <w:u w:val="none"/>
    </w:rPr>
  </w:style>
  <w:style w:type="character" w:customStyle="1" w:styleId="WWCharLFO5LVL4">
    <w:name w:val="WW_CharLFO5LVL4"/>
    <w:qFormat/>
    <w:rPr>
      <w:rFonts w:ascii="Calibri" w:hAnsi="Calibri"/>
      <w:u w:val="none"/>
    </w:rPr>
  </w:style>
  <w:style w:type="character" w:customStyle="1" w:styleId="WWCharLFO5LVL5">
    <w:name w:val="WW_CharLFO5LVL5"/>
    <w:qFormat/>
    <w:rPr>
      <w:rFonts w:ascii="Calibri" w:hAnsi="Calibri"/>
      <w:u w:val="none"/>
    </w:rPr>
  </w:style>
  <w:style w:type="character" w:customStyle="1" w:styleId="WWCharLFO5LVL6">
    <w:name w:val="WW_CharLFO5LVL6"/>
    <w:qFormat/>
    <w:rPr>
      <w:rFonts w:ascii="Calibri" w:hAnsi="Calibri"/>
      <w:u w:val="none"/>
    </w:rPr>
  </w:style>
  <w:style w:type="character" w:customStyle="1" w:styleId="WWCharLFO5LVL7">
    <w:name w:val="WW_CharLFO5LVL7"/>
    <w:qFormat/>
    <w:rPr>
      <w:rFonts w:ascii="Calibri" w:hAnsi="Calibri"/>
      <w:u w:val="none"/>
    </w:rPr>
  </w:style>
  <w:style w:type="character" w:customStyle="1" w:styleId="WWCharLFO5LVL8">
    <w:name w:val="WW_CharLFO5LVL8"/>
    <w:qFormat/>
    <w:rPr>
      <w:rFonts w:ascii="Calibri" w:hAnsi="Calibri"/>
      <w:u w:val="none"/>
    </w:rPr>
  </w:style>
  <w:style w:type="character" w:customStyle="1" w:styleId="WWCharLFO5LVL9">
    <w:name w:val="WW_CharLFO5LVL9"/>
    <w:qFormat/>
    <w:rPr>
      <w:rFonts w:ascii="Calibri" w:hAnsi="Calibri"/>
      <w:u w:val="none"/>
    </w:rPr>
  </w:style>
  <w:style w:type="character" w:styleId="Hyperlink">
    <w:name w:val="Hyperlink"/>
    <w:basedOn w:val="Fontepargpadro"/>
    <w:uiPriority w:val="99"/>
    <w:qFormat/>
    <w:rPr>
      <w:color w:val="0563C1"/>
      <w:u w:val="single"/>
    </w:rPr>
  </w:style>
  <w:style w:type="character" w:customStyle="1" w:styleId="WWCharLFO6LVL1">
    <w:name w:val="WW_CharLFO6LVL1"/>
    <w:qFormat/>
    <w:rPr>
      <w:rFonts w:ascii="Calibri" w:hAnsi="Calibri"/>
      <w:u w:val="none"/>
    </w:rPr>
  </w:style>
  <w:style w:type="character" w:customStyle="1" w:styleId="WWCharLFO6LVL2">
    <w:name w:val="WW_CharLFO6LVL2"/>
    <w:qFormat/>
    <w:rPr>
      <w:rFonts w:ascii="Calibri" w:hAnsi="Calibri"/>
      <w:u w:val="none"/>
    </w:rPr>
  </w:style>
  <w:style w:type="character" w:customStyle="1" w:styleId="WWCharLFO6LVL3">
    <w:name w:val="WW_CharLFO6LVL3"/>
    <w:qFormat/>
    <w:rPr>
      <w:rFonts w:ascii="Calibri" w:hAnsi="Calibri"/>
      <w:u w:val="none"/>
    </w:rPr>
  </w:style>
  <w:style w:type="character" w:customStyle="1" w:styleId="WWCharLFO6LVL4">
    <w:name w:val="WW_CharLFO6LVL4"/>
    <w:qFormat/>
    <w:rPr>
      <w:rFonts w:ascii="Calibri" w:hAnsi="Calibri"/>
      <w:u w:val="none"/>
    </w:rPr>
  </w:style>
  <w:style w:type="character" w:customStyle="1" w:styleId="WWCharLFO6LVL5">
    <w:name w:val="WW_CharLFO6LVL5"/>
    <w:qFormat/>
    <w:rPr>
      <w:rFonts w:ascii="Calibri" w:hAnsi="Calibri"/>
      <w:u w:val="none"/>
    </w:rPr>
  </w:style>
  <w:style w:type="character" w:customStyle="1" w:styleId="WWCharLFO6LVL6">
    <w:name w:val="WW_CharLFO6LVL6"/>
    <w:qFormat/>
    <w:rPr>
      <w:rFonts w:ascii="Calibri" w:hAnsi="Calibri"/>
      <w:u w:val="none"/>
    </w:rPr>
  </w:style>
  <w:style w:type="character" w:customStyle="1" w:styleId="WWCharLFO6LVL7">
    <w:name w:val="WW_CharLFO6LVL7"/>
    <w:qFormat/>
    <w:rPr>
      <w:rFonts w:ascii="Calibri" w:hAnsi="Calibri"/>
      <w:u w:val="none"/>
    </w:rPr>
  </w:style>
  <w:style w:type="character" w:customStyle="1" w:styleId="WWCharLFO6LVL8">
    <w:name w:val="WW_CharLFO6LVL8"/>
    <w:qFormat/>
    <w:rPr>
      <w:rFonts w:ascii="Calibri" w:hAnsi="Calibri"/>
      <w:u w:val="none"/>
    </w:rPr>
  </w:style>
  <w:style w:type="character" w:customStyle="1" w:styleId="WWCharLFO6LVL9">
    <w:name w:val="WW_CharLFO6LVL9"/>
    <w:qFormat/>
    <w:rPr>
      <w:rFonts w:ascii="Calibri" w:hAnsi="Calibri"/>
      <w:u w:val="none"/>
    </w:rPr>
  </w:style>
  <w:style w:type="character" w:customStyle="1" w:styleId="LinkdaInternet">
    <w:name w:val="Link da Internet"/>
    <w:rPr>
      <w:color w:val="000080"/>
      <w:u w:val="single"/>
    </w:rPr>
  </w:style>
  <w:style w:type="paragraph" w:styleId="Ttulo">
    <w:name w:val="Title"/>
    <w:basedOn w:val="Normal"/>
    <w:next w:val="Corpodetexto"/>
    <w:qFormat/>
    <w:pPr>
      <w:keepNext/>
      <w:spacing w:before="240" w:after="120"/>
    </w:pPr>
    <w:rPr>
      <w:rFonts w:ascii="Arial" w:eastAsia="MS Mincho" w:hAnsi="Arial"/>
      <w:sz w:val="28"/>
      <w:szCs w:val="28"/>
    </w:rPr>
  </w:style>
  <w:style w:type="paragraph" w:styleId="Corpodetexto">
    <w:name w:val="Body Text"/>
    <w:basedOn w:val="Normal"/>
    <w:pPr>
      <w:spacing w:after="120"/>
    </w:pPr>
  </w:style>
  <w:style w:type="paragraph" w:customStyle="1" w:styleId="LO-Normal">
    <w:name w:val="LO-Normal"/>
    <w:qFormat/>
    <w:pPr>
      <w:widowControl w:val="0"/>
      <w:suppressAutoHyphens/>
    </w:pPr>
  </w:style>
  <w:style w:type="paragraph" w:styleId="Subttulo">
    <w:name w:val="Subtitle"/>
    <w:basedOn w:val="Ttulo"/>
    <w:next w:val="Corpodetexto"/>
    <w:qFormat/>
    <w:pPr>
      <w:jc w:val="center"/>
    </w:pPr>
    <w:rPr>
      <w:i/>
      <w:iCs/>
    </w:r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Linhahorizontal">
    <w:name w:val="Linha horizontal"/>
    <w:basedOn w:val="Normal"/>
    <w:next w:val="Corpodetexto"/>
    <w:qFormat/>
    <w:pPr>
      <w:suppressLineNumbers/>
      <w:spacing w:after="283"/>
    </w:pPr>
    <w:rPr>
      <w:sz w:val="12"/>
      <w:szCs w:val="12"/>
    </w:rPr>
  </w:style>
  <w:style w:type="paragraph" w:styleId="Ttulodendicedeautoridades">
    <w:name w:val="toa heading"/>
    <w:basedOn w:val="Ttulo"/>
    <w:pPr>
      <w:suppressLineNumbers/>
    </w:pPr>
    <w:rPr>
      <w:b/>
      <w:bCs/>
      <w:sz w:val="32"/>
      <w:szCs w:val="32"/>
    </w:rPr>
  </w:style>
  <w:style w:type="paragraph" w:styleId="Sumrio1">
    <w:name w:val="toc 1"/>
    <w:basedOn w:val="ndice"/>
    <w:pPr>
      <w:tabs>
        <w:tab w:val="right" w:leader="dot" w:pos="10760"/>
      </w:tabs>
    </w:pPr>
  </w:style>
  <w:style w:type="paragraph" w:styleId="Cabealho">
    <w:name w:val="header"/>
    <w:basedOn w:val="Normal"/>
    <w:pPr>
      <w:suppressLineNumbers/>
      <w:tabs>
        <w:tab w:val="center" w:pos="5380"/>
        <w:tab w:val="right" w:pos="10760"/>
      </w:tabs>
    </w:pPr>
  </w:style>
  <w:style w:type="paragraph" w:customStyle="1" w:styleId="Contedodatabela">
    <w:name w:val="Conteúdo da tabela"/>
    <w:basedOn w:val="Normal"/>
    <w:qFormat/>
    <w:pPr>
      <w:suppressLineNumbers/>
    </w:pPr>
  </w:style>
  <w:style w:type="paragraph" w:styleId="Rodap">
    <w:name w:val="footer"/>
    <w:basedOn w:val="Normal"/>
    <w:pPr>
      <w:suppressLineNumbers/>
      <w:tabs>
        <w:tab w:val="center" w:pos="5380"/>
        <w:tab w:val="right" w:pos="10760"/>
      </w:tabs>
    </w:pPr>
  </w:style>
  <w:style w:type="paragraph" w:customStyle="1" w:styleId="ndicepersonalizado10">
    <w:name w:val="Índice personalizado 10"/>
    <w:basedOn w:val="ndice"/>
    <w:qFormat/>
    <w:pPr>
      <w:tabs>
        <w:tab w:val="right" w:leader="dot" w:pos="8213"/>
      </w:tabs>
      <w:ind w:left="2547"/>
    </w:pPr>
  </w:style>
  <w:style w:type="paragraph" w:customStyle="1" w:styleId="Sumrio10">
    <w:name w:val="Sumário 10"/>
    <w:basedOn w:val="ndice"/>
    <w:qFormat/>
    <w:pPr>
      <w:tabs>
        <w:tab w:val="right" w:leader="dot" w:pos="8213"/>
      </w:tabs>
      <w:ind w:left="2547"/>
    </w:pPr>
  </w:style>
  <w:style w:type="paragraph" w:customStyle="1" w:styleId="Ttulodetabela">
    <w:name w:val="Título de tabela"/>
    <w:basedOn w:val="Contedodatabela"/>
    <w:qFormat/>
    <w:pPr>
      <w:jc w:val="center"/>
    </w:pPr>
    <w:rPr>
      <w:b/>
      <w:bCs/>
    </w:rPr>
  </w:style>
  <w:style w:type="paragraph" w:customStyle="1" w:styleId="Contedodoquadro">
    <w:name w:val="Conteúdo do quadro"/>
    <w:basedOn w:val="Normal"/>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paragraph" w:styleId="NormalWeb">
    <w:name w:val="Normal (Web)"/>
    <w:basedOn w:val="Normal"/>
    <w:uiPriority w:val="99"/>
    <w:unhideWhenUsed/>
    <w:rsid w:val="00635C61"/>
    <w:pPr>
      <w:widowControl/>
      <w:suppressAutoHyphens w:val="0"/>
      <w:spacing w:before="100" w:beforeAutospacing="1" w:after="100" w:afterAutospacing="1"/>
      <w:jc w:val="left"/>
      <w:textAlignment w:val="auto"/>
    </w:pPr>
    <w:rPr>
      <w:rFonts w:ascii="Times New Roman" w:eastAsia="Times New Roman" w:hAnsi="Times New Roman" w:cs="Times New Roman"/>
      <w:kern w:val="0"/>
    </w:rPr>
  </w:style>
  <w:style w:type="character" w:styleId="Forte">
    <w:name w:val="Strong"/>
    <w:basedOn w:val="Fontepargpadro"/>
    <w:uiPriority w:val="22"/>
    <w:qFormat/>
    <w:rsid w:val="00726B08"/>
    <w:rPr>
      <w:b/>
      <w:bCs/>
    </w:rPr>
  </w:style>
  <w:style w:type="paragraph" w:styleId="PargrafodaLista">
    <w:name w:val="List Paragraph"/>
    <w:basedOn w:val="Normal"/>
    <w:uiPriority w:val="34"/>
    <w:qFormat/>
    <w:rsid w:val="00726B08"/>
    <w:pPr>
      <w:ind w:left="720"/>
      <w:contextualSpacing/>
    </w:pPr>
  </w:style>
  <w:style w:type="character" w:styleId="nfase">
    <w:name w:val="Emphasis"/>
    <w:basedOn w:val="Fontepargpadro"/>
    <w:uiPriority w:val="20"/>
    <w:qFormat/>
    <w:rsid w:val="006400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476518">
      <w:bodyDiv w:val="1"/>
      <w:marLeft w:val="0"/>
      <w:marRight w:val="0"/>
      <w:marTop w:val="0"/>
      <w:marBottom w:val="0"/>
      <w:divBdr>
        <w:top w:val="none" w:sz="0" w:space="0" w:color="auto"/>
        <w:left w:val="none" w:sz="0" w:space="0" w:color="auto"/>
        <w:bottom w:val="none" w:sz="0" w:space="0" w:color="auto"/>
        <w:right w:val="none" w:sz="0" w:space="0" w:color="auto"/>
      </w:divBdr>
      <w:divsChild>
        <w:div w:id="827861943">
          <w:marLeft w:val="0"/>
          <w:marRight w:val="0"/>
          <w:marTop w:val="0"/>
          <w:marBottom w:val="0"/>
          <w:divBdr>
            <w:top w:val="none" w:sz="0" w:space="0" w:color="auto"/>
            <w:left w:val="none" w:sz="0" w:space="0" w:color="auto"/>
            <w:bottom w:val="none" w:sz="0" w:space="0" w:color="auto"/>
            <w:right w:val="none" w:sz="0" w:space="0" w:color="auto"/>
          </w:divBdr>
        </w:div>
      </w:divsChild>
    </w:div>
    <w:div w:id="1213151289">
      <w:bodyDiv w:val="1"/>
      <w:marLeft w:val="0"/>
      <w:marRight w:val="0"/>
      <w:marTop w:val="0"/>
      <w:marBottom w:val="0"/>
      <w:divBdr>
        <w:top w:val="none" w:sz="0" w:space="0" w:color="auto"/>
        <w:left w:val="none" w:sz="0" w:space="0" w:color="auto"/>
        <w:bottom w:val="none" w:sz="0" w:space="0" w:color="auto"/>
        <w:right w:val="none" w:sz="0" w:space="0" w:color="auto"/>
      </w:divBdr>
    </w:div>
    <w:div w:id="1478302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ducacao.blbbrasil.com.br/courses/retencao-na-fonte-e-reinf-teoria-e-pratica-e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fo.fazenda.sp.gov.br/NXT/gateway.dll/legislacao_tributaria/Regulamento_icms/ind_temas.html?f=templates&amp;fn=default.htm&amp;vid=sefaz_tributaria:vtribu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info.fazenda.sp.gov.br/NXT/gateway.dll/legislacao_tributaria/portaria_cat/pcat422018.htm" TargetMode="External"/><Relationship Id="rId4" Type="http://schemas.openxmlformats.org/officeDocument/2006/relationships/webSettings" Target="webSettings.xml"/><Relationship Id="rId9" Type="http://schemas.openxmlformats.org/officeDocument/2006/relationships/hyperlink" Target="https://www.blbbrasil.com.br/blog/substituicao-tributaria-icm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lberto\Documents\Modelos%20Personalizados%20do%20Office\DEMANDA_ESPECIFICACAO_modelo3.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DEMANDA_ESPECIFICACAO_modelo3.dotx</Template>
  <TotalTime>335</TotalTime>
  <Pages>3</Pages>
  <Words>1132</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adalberto</dc:creator>
  <dc:description/>
  <cp:lastModifiedBy>Illuminati Spiritus</cp:lastModifiedBy>
  <cp:revision>9</cp:revision>
  <dcterms:created xsi:type="dcterms:W3CDTF">2019-07-15T15:36:00Z</dcterms:created>
  <dcterms:modified xsi:type="dcterms:W3CDTF">2019-07-15T21:16:00Z</dcterms:modified>
  <dc:language>pt-BR</dc:language>
</cp:coreProperties>
</file>