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_6ce04ea10adf9ce15b81e485d18e1f7c176b155"/>
    <w:p>
      <w:pPr>
        <w:pStyle w:val="Heading1"/>
      </w:pPr>
      <w:r>
        <w:t xml:space="preserve">Manual de usuario de UniMon</w:t>
      </w:r>
    </w:p>
    <w:p>
      <w:pPr>
        <w:pStyle w:val="FirstParagraph"/>
      </w:pPr>
      <w:r>
        <w:rPr>
          <w:b/>
          <w:bCs/>
        </w:rPr>
        <w:t xml:space="preserve">Público:</w:t>
      </w:r>
      <w:r>
        <w:t xml:space="preserve"> </w:t>
      </w:r>
      <w:r>
        <w:t xml:space="preserve">estudiantes, docentes, administrativos y personas que usan los servicios TI de la Universidad Simón Bolívar.</w:t>
      </w:r>
      <w:r>
        <w:br/>
      </w:r>
      <w:r>
        <w:rPr>
          <w:b/>
          <w:bCs/>
        </w:rPr>
        <w:t xml:space="preserve">Propósito:</w:t>
      </w:r>
      <w:r>
        <w:t xml:space="preserve"> </w:t>
      </w:r>
      <w:r>
        <w:t xml:space="preserve">explicar cómo conversar con UniMon, aprovechar la orientación de primera línea y pedir ayuda humana cuando haga falta.</w:t>
      </w:r>
    </w:p>
    <w:bookmarkStart w:id="11" w:name="_ebbf1ff599e74c18c8c7d6a78e6987b45b97f0d"/>
    <w:p>
      <w:pPr>
        <w:pStyle w:val="Heading2"/>
      </w:pPr>
      <w:r>
        <w:t xml:space="preserve">1. Qué es UniMon</w:t>
      </w:r>
    </w:p>
    <w:p>
      <w:pPr>
        <w:pStyle w:val="FirstParagraph"/>
      </w:pPr>
      <w:r>
        <w:t xml:space="preserve">UniMon es un asistente conversacional de soporte TI de Nivel 1. Busca responder preguntas y orientar problemas comunes a partir de documentos institucionales, reglas de soporte configuradas y servicios conectados. Puede usar un proveedor de lenguaje en la nube o un modelo local, según la configuración del sistema.</w:t>
      </w:r>
    </w:p>
    <w:p>
      <w:pPr>
        <w:pStyle w:val="BodyText"/>
      </w:pPr>
      <w:r>
        <w:t xml:space="preserve">Sus respuestas no sustituyen la aprobación de un trámite, una decisión académica ni la intervención de un área responsable. Que UniMon explique una ruta de un sistema no significa que el usuario tenga permisos para ejecutarla.</w:t>
      </w:r>
    </w:p>
    <w:bookmarkStart w:id="9" w:name="_551d7c99c61a712799b7de51e819c7ce1a1d148"/>
    <w:p>
      <w:pPr>
        <w:pStyle w:val="Heading3"/>
      </w:pPr>
      <w:r>
        <w:t xml:space="preserve">Puede ayudar con</w:t>
      </w:r>
    </w:p>
    <w:p>
      <w:pPr>
        <w:pStyle w:val="Compact"/>
        <w:numPr>
          <w:ilvl w:val="0"/>
          <w:numId w:val="1001"/>
        </w:numPr>
      </w:pPr>
      <w:r>
        <w:t xml:space="preserve">Acceso a portales, correo institucional, Microsoft 365, Teams y Moodle cuando hay información disponible.</w:t>
      </w:r>
    </w:p>
    <w:p>
      <w:pPr>
        <w:pStyle w:val="Compact"/>
        <w:numPr>
          <w:ilvl w:val="0"/>
          <w:numId w:val="1001"/>
        </w:numPr>
      </w:pPr>
      <w:r>
        <w:t xml:space="preserve">Procedimientos documentados para estudiantes, docentes y personal administrativo.</w:t>
      </w:r>
    </w:p>
    <w:p>
      <w:pPr>
        <w:pStyle w:val="Compact"/>
        <w:numPr>
          <w:ilvl w:val="0"/>
          <w:numId w:val="1001"/>
        </w:numPr>
      </w:pPr>
      <w:r>
        <w:t xml:space="preserve">Diagnóstico inicial y pasos seguros para fallas comunes de equipos o conectividad.</w:t>
      </w:r>
    </w:p>
    <w:p>
      <w:pPr>
        <w:pStyle w:val="Compact"/>
        <w:numPr>
          <w:ilvl w:val="0"/>
          <w:numId w:val="1001"/>
        </w:numPr>
      </w:pPr>
      <w:r>
        <w:t xml:space="preserve">Orientación para contactar a soporte o iniciar una solicitud de atención.</w:t>
      </w:r>
    </w:p>
    <w:bookmarkEnd w:id="9"/>
    <w:bookmarkStart w:id="10" w:name="_8509dc593fe869f9985edd8a5388c795cde9da1"/>
    <w:p>
      <w:pPr>
        <w:pStyle w:val="Heading3"/>
      </w:pPr>
      <w:r>
        <w:t xml:space="preserve">No debe usarse para</w:t>
      </w:r>
    </w:p>
    <w:p>
      <w:pPr>
        <w:pStyle w:val="Compact"/>
        <w:numPr>
          <w:ilvl w:val="0"/>
          <w:numId w:val="1002"/>
        </w:numPr>
      </w:pPr>
      <w:r>
        <w:t xml:space="preserve">Pedir cambios de notas, autorizaciones, excepciones o decisiones académicas.</w:t>
      </w:r>
    </w:p>
    <w:p>
      <w:pPr>
        <w:pStyle w:val="Compact"/>
        <w:numPr>
          <w:ilvl w:val="0"/>
          <w:numId w:val="1002"/>
        </w:numPr>
      </w:pPr>
      <w:r>
        <w:t xml:space="preserve">Solicitar que realice acciones en nombre del usuario dentro de sistemas universitarios.</w:t>
      </w:r>
    </w:p>
    <w:p>
      <w:pPr>
        <w:pStyle w:val="Compact"/>
        <w:numPr>
          <w:ilvl w:val="0"/>
          <w:numId w:val="1002"/>
        </w:numPr>
      </w:pPr>
      <w:r>
        <w:t xml:space="preserve">Compartir contraseñas, códigos de verificación, tokens, datos financieros o información sensible.</w:t>
      </w:r>
    </w:p>
    <w:p>
      <w:pPr>
        <w:pStyle w:val="Compact"/>
        <w:numPr>
          <w:ilvl w:val="0"/>
          <w:numId w:val="1002"/>
        </w:numPr>
      </w:pPr>
      <w:r>
        <w:t xml:space="preserve">Resolver asuntos ajenos al soporte TI y a los servicios institucionales.</w:t>
      </w:r>
    </w:p>
    <w:bookmarkEnd w:id="10"/>
    <w:bookmarkEnd w:id="11"/>
    <w:bookmarkStart w:id="15" w:name="_7b15fa6eb3e14af577cf485846949afe64d2e13"/>
    <w:p>
      <w:pPr>
        <w:pStyle w:val="Heading2"/>
      </w:pPr>
      <w:r>
        <w:t xml:space="preserve">2. Cómo iniciar y mantener una conversación</w:t>
      </w:r>
    </w:p>
    <w:bookmarkStart w:id="12" w:name="_71c34a32253dccdf52068ba26c982fa09a5737e"/>
    <w:p>
      <w:pPr>
        <w:pStyle w:val="Heading3"/>
      </w:pPr>
      <w:r>
        <w:t xml:space="preserve">Chat web</w:t>
      </w:r>
    </w:p>
    <w:p>
      <w:pPr>
        <w:pStyle w:val="Compact"/>
        <w:numPr>
          <w:ilvl w:val="0"/>
          <w:numId w:val="1003"/>
        </w:numPr>
      </w:pPr>
      <w:r>
        <w:t xml:space="preserve">Abre la dirección del chatbot que te haya compartido la Universidad o el equipo de TI.</w:t>
      </w:r>
    </w:p>
    <w:p>
      <w:pPr>
        <w:pStyle w:val="Compact"/>
        <w:numPr>
          <w:ilvl w:val="0"/>
          <w:numId w:val="1003"/>
        </w:numPr>
      </w:pPr>
      <w:r>
        <w:t xml:space="preserve">Escribe la situación completa en el campo de mensaje y envíala.</w:t>
      </w:r>
    </w:p>
    <w:p>
      <w:pPr>
        <w:pStyle w:val="Compact"/>
        <w:numPr>
          <w:ilvl w:val="0"/>
          <w:numId w:val="1003"/>
        </w:numPr>
      </w:pPr>
      <w:r>
        <w:t xml:space="preserve">Continúa en el mismo chat si UniMon necesita una aclaración, si vas a probar un paso o si quieres responder a la pregunta de seguimiento.</w:t>
      </w:r>
    </w:p>
    <w:p>
      <w:pPr>
        <w:pStyle w:val="Compact"/>
        <w:numPr>
          <w:ilvl w:val="0"/>
          <w:numId w:val="1003"/>
        </w:numPr>
      </w:pPr>
      <w:r>
        <w:t xml:space="preserve">Usa</w:t>
      </w:r>
      <w:r>
        <w:t xml:space="preserve"> </w:t>
      </w:r>
      <w:r>
        <w:rPr>
          <w:b/>
          <w:bCs/>
        </w:rPr>
        <w:t xml:space="preserve">Nueva conversación</w:t>
      </w:r>
      <w:r>
        <w:t xml:space="preserve"> </w:t>
      </w:r>
      <w:r>
        <w:t xml:space="preserve">en la parte superior cuando quieras empezar otro tema sin el contexto anterior.</w:t>
      </w:r>
    </w:p>
    <w:p>
      <w:pPr>
        <w:pStyle w:val="FirstParagraph"/>
      </w:pPr>
      <w:r>
        <w:t xml:space="preserve">Cada pestaña del navegador mantiene un identificador de sesión. Abrir otra pestaña crea otra sesión; el botón</w:t>
      </w:r>
      <w:r>
        <w:t xml:space="preserve"> </w:t>
      </w:r>
      <w:r>
        <w:rPr>
          <w:b/>
          <w:bCs/>
        </w:rPr>
        <w:t xml:space="preserve">Nueva conversación</w:t>
      </w:r>
      <w:r>
        <w:t xml:space="preserve"> </w:t>
      </w:r>
      <w:r>
        <w:t xml:space="preserve">renueva la sesión actual. Si reinicias el servidor, las sesiones en curso pueden perderse.</w:t>
      </w:r>
    </w:p>
    <w:bookmarkEnd w:id="12"/>
    <w:bookmarkStart w:id="13" w:name="_whatsapp"/>
    <w:p>
      <w:pPr>
        <w:pStyle w:val="Heading3"/>
      </w:pPr>
      <w:r>
        <w:t xml:space="preserve">WhatsApp</w:t>
      </w:r>
    </w:p>
    <w:p>
      <w:pPr>
        <w:pStyle w:val="FirstParagraph"/>
      </w:pPr>
      <w:r>
        <w:t xml:space="preserve">Si UniMon está habilitado para el número oficial, envíale un mensaje a ese número. Escribe</w:t>
      </w:r>
      <w:r>
        <w:t xml:space="preserve"> </w:t>
      </w:r>
      <w:r>
        <w:rPr>
          <w:b/>
          <w:bCs/>
        </w:rPr>
        <w:t xml:space="preserve">nueva conversación</w:t>
      </w:r>
      <w:r>
        <w:t xml:space="preserve">,</w:t>
      </w:r>
      <w:r>
        <w:t xml:space="preserve"> </w:t>
      </w:r>
      <w:r>
        <w:rPr>
          <w:b/>
          <w:bCs/>
        </w:rPr>
        <w:t xml:space="preserve">nueva sesión</w:t>
      </w:r>
      <w:r>
        <w:t xml:space="preserve"> </w:t>
      </w:r>
      <w:r>
        <w:t xml:space="preserve">o</w:t>
      </w:r>
      <w:r>
        <w:t xml:space="preserve"> </w:t>
      </w:r>
      <w:r>
        <w:rPr>
          <w:b/>
          <w:bCs/>
        </w:rPr>
        <w:t xml:space="preserve">nuevo chat</w:t>
      </w:r>
      <w:r>
        <w:t xml:space="preserve"> </w:t>
      </w:r>
      <w:r>
        <w:t xml:space="preserve">para limpiar el contexto de la conversación. Si no recibes respuesta, puede estar deshabilitada la integración, haber vencido la configuración de Meta o existir una falla del servicio; usa el canal institucional de soporte.</w:t>
      </w:r>
    </w:p>
    <w:bookmarkEnd w:id="13"/>
    <w:bookmarkStart w:id="14" w:name="_f9adfccdb1e3ba7e7c20a88457a1a91444e8707"/>
    <w:p>
      <w:pPr>
        <w:pStyle w:val="Heading3"/>
      </w:pPr>
      <w:r>
        <w:t xml:space="preserve">¿Debo seleccionar un rol?</w:t>
      </w:r>
    </w:p>
    <w:p>
      <w:pPr>
        <w:pStyle w:val="FirstParagraph"/>
      </w:pPr>
      <w:r>
        <w:t xml:space="preserve">Normalmente puedes escribir tu pregunta directamente. El sistema conserva o infiere un perfil conversacional cuando puede, pero el perfil</w:t>
      </w:r>
      <w:r>
        <w:t xml:space="preserve"> </w:t>
      </w:r>
      <w:r>
        <w:rPr>
          <w:b/>
          <w:bCs/>
        </w:rPr>
        <w:t xml:space="preserve">no limita la búsqueda documental por audiencia</w:t>
      </w:r>
      <w:r>
        <w:t xml:space="preserve">. Si el procedimiento depende de tu condición, sede o permisos, indícalo en la pregunta; por ejemplo: “Soy docente de posgrado…” o “Trabajo en registro académico…”.</w:t>
      </w:r>
    </w:p>
    <w:bookmarkEnd w:id="14"/>
    <w:bookmarkEnd w:id="15"/>
    <w:bookmarkStart w:id="16" w:name="_70566f27f513a24bf7aa74e534523c0439b6c2d"/>
    <w:p>
      <w:pPr>
        <w:pStyle w:val="Heading2"/>
      </w:pPr>
      <w:r>
        <w:t xml:space="preserve">3. Cómo formular una pregunta útil</w:t>
      </w:r>
    </w:p>
    <w:p>
      <w:pPr>
        <w:pStyle w:val="FirstParagraph"/>
      </w:pPr>
      <w:r>
        <w:t xml:space="preserve">Incluye, si lo sabes:</w:t>
      </w:r>
    </w:p>
    <w:p>
      <w:pPr>
        <w:pStyle w:val="Compact"/>
        <w:numPr>
          <w:ilvl w:val="0"/>
          <w:numId w:val="1004"/>
        </w:numPr>
      </w:pPr>
      <w:r>
        <w:t xml:space="preserve">Qué intentas hacer o qué dejó de funcionar.</w:t>
      </w:r>
    </w:p>
    <w:p>
      <w:pPr>
        <w:pStyle w:val="Compact"/>
        <w:numPr>
          <w:ilvl w:val="0"/>
          <w:numId w:val="1004"/>
        </w:numPr>
      </w:pPr>
      <w:r>
        <w:t xml:space="preserve">En qué sistema, portal, aplicación o equipo ocurre.</w:t>
      </w:r>
    </w:p>
    <w:p>
      <w:pPr>
        <w:pStyle w:val="Compact"/>
        <w:numPr>
          <w:ilvl w:val="0"/>
          <w:numId w:val="1004"/>
        </w:numPr>
      </w:pPr>
      <w:r>
        <w:t xml:space="preserve">Qué estabas haciendo justo antes del problema.</w:t>
      </w:r>
    </w:p>
    <w:p>
      <w:pPr>
        <w:pStyle w:val="Compact"/>
        <w:numPr>
          <w:ilvl w:val="0"/>
          <w:numId w:val="1004"/>
        </w:numPr>
      </w:pPr>
      <w:r>
        <w:t xml:space="preserve">El mensaje de error exacto, sin incluir contraseñas ni códigos privados.</w:t>
      </w:r>
    </w:p>
    <w:p>
      <w:pPr>
        <w:pStyle w:val="Compact"/>
        <w:numPr>
          <w:ilvl w:val="0"/>
          <w:numId w:val="1004"/>
        </w:numPr>
      </w:pPr>
      <w:r>
        <w:t xml:space="preserve">Tu perfil institucional y la sede, cuando cambien el procedimiento.</w:t>
      </w:r>
    </w:p>
    <w:p>
      <w:pPr>
        <w:pStyle w:val="FirstParagraph"/>
      </w:pPr>
      <w:r>
        <w:rPr>
          <w:b/>
          <w:bCs/>
        </w:rPr>
        <w:t xml:space="preserve">Vago:</w:t>
      </w:r>
      <w:r>
        <w:t xml:space="preserve"> </w:t>
      </w:r>
      <w:r>
        <w:t xml:space="preserve">“No me sirve.”</w:t>
      </w:r>
      <w:r>
        <w:br/>
      </w:r>
      <w:r>
        <w:rPr>
          <w:b/>
          <w:bCs/>
        </w:rPr>
        <w:t xml:space="preserve">Más claro:</w:t>
      </w:r>
      <w:r>
        <w:t xml:space="preserve"> </w:t>
      </w:r>
      <w:r>
        <w:t xml:space="preserve">“Soy estudiante de primer semestre. Ya pagué la matrícula y no sé dónde encuentro las credenciales para entrar al portal.”</w:t>
      </w:r>
    </w:p>
    <w:p>
      <w:pPr>
        <w:pStyle w:val="BodyText"/>
      </w:pPr>
      <w:r>
        <w:rPr>
          <w:b/>
          <w:bCs/>
        </w:rPr>
        <w:t xml:space="preserve">Vago:</w:t>
      </w:r>
      <w:r>
        <w:t xml:space="preserve"> </w:t>
      </w:r>
      <w:r>
        <w:t xml:space="preserve">“¿Cómo hago el reporte?”</w:t>
      </w:r>
      <w:r>
        <w:br/>
      </w:r>
      <w:r>
        <w:rPr>
          <w:b/>
          <w:bCs/>
        </w:rPr>
        <w:t xml:space="preserve">Más claro:</w:t>
      </w:r>
      <w:r>
        <w:t xml:space="preserve"> </w:t>
      </w:r>
      <w:r>
        <w:t xml:space="preserve">“Trabajo en registro. ¿Cómo genero el informe de estudiantes nuevos en SIAAF Web y qué filtros debo usar?”</w:t>
      </w:r>
    </w:p>
    <w:p>
      <w:pPr>
        <w:pStyle w:val="BodyText"/>
      </w:pPr>
      <w:r>
        <w:t xml:space="preserve">La pregunta puede ser coloquial. UniMon amplía la búsqueda con expresiones relacionadas y busca evidencia en los documentos indexados. Si distintas guías complementan el procedimiento, puede combinar sus fragmentos, siempre que el contexto recuperado lo permita.</w:t>
      </w:r>
    </w:p>
    <w:bookmarkEnd w:id="16"/>
    <w:bookmarkStart w:id="18" w:name="_8e035409f838f9d3f4e2255ab00e1caed2e4d1d"/>
    <w:p>
      <w:pPr>
        <w:pStyle w:val="Heading2"/>
      </w:pPr>
      <w:r>
        <w:t xml:space="preserve">4. Cómo leer la respuesta</w:t>
      </w:r>
    </w:p>
    <w:p>
      <w:pPr>
        <w:pStyle w:val="Compact"/>
        <w:numPr>
          <w:ilvl w:val="0"/>
          <w:numId w:val="1005"/>
        </w:numPr>
      </w:pPr>
      <w:r>
        <w:t xml:space="preserve">Sigue los pasos en el orden indicado y detente si la pantalla no coincide con lo que se describe.</w:t>
      </w:r>
    </w:p>
    <w:p>
      <w:pPr>
        <w:pStyle w:val="Compact"/>
        <w:numPr>
          <w:ilvl w:val="0"/>
          <w:numId w:val="1005"/>
        </w:numPr>
      </w:pPr>
      <w:r>
        <w:t xml:space="preserve">Los nombres de documentos o páginas que el sistema muestre como fuentes sirven para ubicar de dónde salió la respuesta; no son una garantía de que el archivo esté vigente.</w:t>
      </w:r>
    </w:p>
    <w:p>
      <w:pPr>
        <w:pStyle w:val="Compact"/>
        <w:numPr>
          <w:ilvl w:val="0"/>
          <w:numId w:val="1005"/>
        </w:numPr>
      </w:pPr>
      <w:r>
        <w:t xml:space="preserve">Si UniMon indica que no encontró un paso, un requisito o una ruta, no completes ese dato por intuición. Pregunta qué parte sí puede confirmar o solicita atención humana.</w:t>
      </w:r>
    </w:p>
    <w:p>
      <w:pPr>
        <w:pStyle w:val="Compact"/>
        <w:numPr>
          <w:ilvl w:val="0"/>
          <w:numId w:val="1005"/>
        </w:numPr>
      </w:pPr>
      <w:r>
        <w:t xml:space="preserve">Si tu caso requiere permisos, una decisión del área o una acción de un técnico, UniMon debe explicarlo y ofrecer la ruta autorizada correspondiente.</w:t>
      </w:r>
    </w:p>
    <w:p>
      <w:pPr>
        <w:pStyle w:val="Compact"/>
        <w:numPr>
          <w:ilvl w:val="0"/>
          <w:numId w:val="1005"/>
        </w:numPr>
      </w:pPr>
      <w:r>
        <w:t xml:space="preserve">Usa los botones de respuesta rápida cuando aparezcan. “Sí, me funcionó” registra una señal de satisfacción; “No me funcionó” permite continuar el diagnóstico o escalar, según el estado de la conversación. La confirmación no garantiza que cada respuesta se haya incorporado a una memoria ni que el contenido haya sido verificado por una persona.</w:t>
      </w:r>
    </w:p>
    <w:bookmarkStart w:id="17" w:name="_e778c612a911b6c4407b757894cf64a566f8789"/>
    <w:p>
      <w:pPr>
        <w:pStyle w:val="Heading3"/>
      </w:pPr>
      <w:r>
        <w:t xml:space="preserve">Si la respuesta no resuelve el problema</w:t>
      </w:r>
    </w:p>
    <w:p>
      <w:pPr>
        <w:pStyle w:val="Compact"/>
        <w:numPr>
          <w:ilvl w:val="0"/>
          <w:numId w:val="1006"/>
        </w:numPr>
      </w:pPr>
      <w:r>
        <w:t xml:space="preserve">Contesta</w:t>
      </w:r>
      <w:r>
        <w:t xml:space="preserve"> </w:t>
      </w:r>
      <w:r>
        <w:rPr>
          <w:b/>
          <w:bCs/>
        </w:rPr>
        <w:t xml:space="preserve">No me funcionó</w:t>
      </w:r>
      <w:r>
        <w:t xml:space="preserve"> </w:t>
      </w:r>
      <w:r>
        <w:t xml:space="preserve">o explica qué paso falló.</w:t>
      </w:r>
    </w:p>
    <w:p>
      <w:pPr>
        <w:pStyle w:val="Compact"/>
        <w:numPr>
          <w:ilvl w:val="0"/>
          <w:numId w:val="1006"/>
        </w:numPr>
      </w:pPr>
      <w:r>
        <w:t xml:space="preserve">Incluye el texto del error y el nombre de la pantalla, sin enviar datos secretos.</w:t>
      </w:r>
    </w:p>
    <w:p>
      <w:pPr>
        <w:pStyle w:val="Compact"/>
        <w:numPr>
          <w:ilvl w:val="0"/>
          <w:numId w:val="1006"/>
        </w:numPr>
      </w:pPr>
      <w:r>
        <w:t xml:space="preserve">Si aparece la opción, elige</w:t>
      </w:r>
      <w:r>
        <w:t xml:space="preserve"> </w:t>
      </w:r>
      <w:r>
        <w:rPr>
          <w:b/>
          <w:bCs/>
        </w:rPr>
        <w:t xml:space="preserve">Generar reporte</w:t>
      </w:r>
      <w:r>
        <w:t xml:space="preserve"> </w:t>
      </w:r>
      <w:r>
        <w:t xml:space="preserve">para comenzar la solicitud de soporte.</w:t>
      </w:r>
    </w:p>
    <w:p>
      <w:pPr>
        <w:pStyle w:val="Compact"/>
        <w:numPr>
          <w:ilvl w:val="0"/>
          <w:numId w:val="1006"/>
        </w:numPr>
      </w:pPr>
      <w:r>
        <w:t xml:space="preserve">Si el sistema no ofrece la opción o la falla es física, contacta al canal de TI indicado en esta guía o en los canales vigentes de tu sede.</w:t>
      </w:r>
    </w:p>
    <w:bookmarkEnd w:id="17"/>
    <w:bookmarkEnd w:id="18"/>
    <w:bookmarkStart w:id="19" w:name="_0efbe1a312c8ce0fef782d9a20402c4af5e17a4"/>
    <w:p>
      <w:pPr>
        <w:pStyle w:val="Heading2"/>
      </w:pPr>
      <w:r>
        <w:t xml:space="preserve">5. Solicitar ayuda técnica y radicar un caso</w:t>
      </w:r>
    </w:p>
    <w:p>
      <w:pPr>
        <w:pStyle w:val="FirstParagraph"/>
      </w:pPr>
      <w:r>
        <w:t xml:space="preserve">Cuando UniMon ofrezca radicar un caso, decide si quieres continuar. El flujo puede pedirte:</w:t>
      </w:r>
    </w:p>
    <w:p>
      <w:pPr>
        <w:pStyle w:val="Compact"/>
        <w:numPr>
          <w:ilvl w:val="0"/>
          <w:numId w:val="1007"/>
        </w:numPr>
      </w:pPr>
      <w:r>
        <w:t xml:space="preserve">Nombre.</w:t>
      </w:r>
    </w:p>
    <w:p>
      <w:pPr>
        <w:pStyle w:val="Compact"/>
        <w:numPr>
          <w:ilvl w:val="0"/>
          <w:numId w:val="1007"/>
        </w:numPr>
      </w:pPr>
      <w:r>
        <w:t xml:space="preserve">Correo de contacto válido.</w:t>
      </w:r>
    </w:p>
    <w:p>
      <w:pPr>
        <w:pStyle w:val="Compact"/>
        <w:numPr>
          <w:ilvl w:val="0"/>
          <w:numId w:val="1007"/>
        </w:numPr>
      </w:pPr>
      <w:r>
        <w:t xml:space="preserve">Descripción concreta del problema o requerimiento.</w:t>
      </w:r>
    </w:p>
    <w:p>
      <w:pPr>
        <w:pStyle w:val="Compact"/>
        <w:numPr>
          <w:ilvl w:val="0"/>
          <w:numId w:val="1007"/>
        </w:numPr>
      </w:pPr>
      <w:r>
        <w:t xml:space="preserve">Confirmación adicional si ya tienes un caso activo o si quieres agregar información a un ticket existente.</w:t>
      </w:r>
    </w:p>
    <w:p>
      <w:pPr>
        <w:pStyle w:val="FirstParagraph"/>
      </w:pPr>
      <w:r>
        <w:t xml:space="preserve">La información se envía a GLPI solamente si la integración está configurada y la radicación se completa. Revisa la respuesta final y guarda el número de ticket si se genera. La respuesta de UniMon no garantiza que un técnico ya esté en camino ni que una solicitud esté aprobada.</w:t>
      </w:r>
    </w:p>
    <w:p>
      <w:pPr>
        <w:pStyle w:val="BodyText"/>
      </w:pPr>
      <w:r>
        <w:t xml:space="preserve">Nunca envíes tu contraseña, códigos de autenticación, tokens, datos completos de tarjetas ni credenciales de terceros. Para hardware, cableado, puntos de red, torniquetes o equipos que requieran intervención presencial, no abras el equipo ni manipules instalaciones: describe la ubicación y pide atención al área responsable.</w:t>
      </w:r>
    </w:p>
    <w:bookmarkEnd w:id="19"/>
    <w:bookmarkStart w:id="20" w:name="_3aa9063e7381465a532da46afc6ab9aaf6f4804"/>
    <w:p>
      <w:pPr>
        <w:pStyle w:val="Heading2"/>
      </w:pPr>
      <w:r>
        <w:t xml:space="preserve">6. Canales directos de soporte TI</w:t>
      </w:r>
    </w:p>
    <w:p>
      <w:pPr>
        <w:pStyle w:val="FirstParagraph"/>
      </w:pPr>
      <w:r>
        <w:t xml:space="preserve">Los canales configurados actualmente en las respuestas del chatbot son:</w:t>
      </w:r>
    </w:p>
    <w:p>
      <w:pPr>
        <w:pStyle w:val="Compact"/>
        <w:numPr>
          <w:ilvl w:val="0"/>
          <w:numId w:val="1008"/>
        </w:numPr>
      </w:pPr>
      <w:r>
        <w:rPr>
          <w:b/>
          <w:bCs/>
        </w:rPr>
        <w:t xml:space="preserve">Barranquilla:</w:t>
      </w:r>
      <w:r>
        <w:t xml:space="preserve"> </w:t>
      </w:r>
      <w:r>
        <w:t xml:space="preserve">solicitudcomputo@unisimon.edu.co; WhatsApp 3172683922; PBX (605) 3444333, extensiones 8003/8004.</w:t>
      </w:r>
    </w:p>
    <w:p>
      <w:pPr>
        <w:pStyle w:val="Compact"/>
        <w:numPr>
          <w:ilvl w:val="0"/>
          <w:numId w:val="1008"/>
        </w:numPr>
      </w:pPr>
      <w:r>
        <w:rPr>
          <w:b/>
          <w:bCs/>
        </w:rPr>
        <w:t xml:space="preserve">Cúcuta:</w:t>
      </w:r>
      <w:r>
        <w:t xml:space="preserve"> </w:t>
      </w:r>
      <w:r>
        <w:t xml:space="preserve">helpdesk@unisimon.edu.co; PBX (607) 5827070, extensión 129.</w:t>
      </w:r>
    </w:p>
    <w:p>
      <w:pPr>
        <w:pStyle w:val="FirstParagraph"/>
      </w:pPr>
      <w:r>
        <w:t xml:space="preserve">Confirma que sigan vigentes en los canales oficiales de la Universidad antes de usarlos. Un administrador puede actualizar esta información en la configuración de la aplicación.</w:t>
      </w:r>
    </w:p>
    <w:bookmarkEnd w:id="20"/>
    <w:bookmarkStart w:id="21" w:name="_a2a727b2502dff7996ab2515406cdfe88bae2b4"/>
    <w:p>
      <w:pPr>
        <w:pStyle w:val="Heading2"/>
      </w:pPr>
      <w:r>
        <w:t xml:space="preserve">7. Problemas comunes al usar el chat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Qué hacer</w:t>
            </w:r>
          </w:p>
        </w:tc>
      </w:tr>
      <w:tr>
        <w:tc>
          <w:tcPr/>
          <w:p>
            <w:pPr>
              <w:pStyle w:val="Compact"/>
            </w:pPr>
            <w:r>
              <w:t xml:space="preserve">UniMon mezcla el contexto de una conversación anterior</w:t>
            </w:r>
          </w:p>
        </w:tc>
        <w:tc>
          <w:tcPr/>
          <w:p>
            <w:pPr>
              <w:pStyle w:val="Compact"/>
            </w:pPr>
            <w:r>
              <w:t xml:space="preserve">Usa</w:t>
            </w:r>
            <w:r>
              <w:t xml:space="preserve"> </w:t>
            </w:r>
            <w:r>
              <w:rPr>
                <w:b/>
                <w:bCs/>
              </w:rPr>
              <w:t xml:space="preserve">Nueva conversación</w:t>
            </w:r>
            <w:r>
              <w:t xml:space="preserve"> </w:t>
            </w:r>
            <w:r>
              <w:t xml:space="preserve">o escribe una pregunta completa en una sesión nueva.</w:t>
            </w:r>
          </w:p>
        </w:tc>
      </w:tr>
      <w:tr>
        <w:tc>
          <w:tcPr/>
          <w:p>
            <w:pPr>
              <w:pStyle w:val="Compact"/>
            </w:pPr>
            <w:r>
              <w:t xml:space="preserve">Pide aclarar el sistema, perfil o sede</w:t>
            </w:r>
          </w:p>
        </w:tc>
        <w:tc>
          <w:tcPr/>
          <w:p>
            <w:pPr>
              <w:pStyle w:val="Compact"/>
            </w:pPr>
            <w:r>
              <w:t xml:space="preserve">Indica cuál sistema usas, tu perfil y la sede si el procedimiento puede cambiar.</w:t>
            </w:r>
          </w:p>
        </w:tc>
      </w:tr>
      <w:tr>
        <w:tc>
          <w:tcPr/>
          <w:p>
            <w:pPr>
              <w:pStyle w:val="Compact"/>
            </w:pPr>
            <w:r>
              <w:t xml:space="preserve">Responde con pasos generales, pero no con la ruta dentro del sistema</w:t>
            </w:r>
          </w:p>
        </w:tc>
        <w:tc>
          <w:tcPr/>
          <w:p>
            <w:pPr>
              <w:pStyle w:val="Compact"/>
            </w:pPr>
            <w:r>
              <w:t xml:space="preserve">Di qué pantalla necesitas completar y solicita que separe lo confirmado de lo que no está documentado.</w:t>
            </w:r>
          </w:p>
        </w:tc>
      </w:tr>
      <w:tr>
        <w:tc>
          <w:tcPr/>
          <w:p>
            <w:pPr>
              <w:pStyle w:val="Compact"/>
            </w:pPr>
            <w:r>
              <w:t xml:space="preserve">Los botones no aparecen en WhatsApp</w:t>
            </w:r>
          </w:p>
        </w:tc>
        <w:tc>
          <w:tcPr/>
          <w:p>
            <w:pPr>
              <w:pStyle w:val="Compact"/>
            </w:pPr>
            <w:r>
              <w:t xml:space="preserve">Responde con texto, por ejemplo “sí”, “no”, “nuevo chat” o “cancelar”.</w:t>
            </w:r>
          </w:p>
        </w:tc>
      </w:tr>
      <w:tr>
        <w:tc>
          <w:tcPr/>
          <w:p>
            <w:pPr>
              <w:pStyle w:val="Compact"/>
            </w:pPr>
            <w:r>
              <w:t xml:space="preserve">Un paso pide permisos que no tienes</w:t>
            </w:r>
          </w:p>
        </w:tc>
        <w:tc>
          <w:tcPr/>
          <w:p>
            <w:pPr>
              <w:pStyle w:val="Compact"/>
            </w:pPr>
            <w:r>
              <w:t xml:space="preserve">No intentes elevar permisos ni usar credenciales ajenas. Solicita al responsable autorizado que gestione el acceso.</w:t>
            </w:r>
          </w:p>
        </w:tc>
      </w:tr>
      <w:tr>
        <w:tc>
          <w:tcPr/>
          <w:p>
            <w:pPr>
              <w:pStyle w:val="Compact"/>
            </w:pPr>
            <w:r>
              <w:t xml:space="preserve">No recibes respuesta o aparece error</w:t>
            </w:r>
          </w:p>
        </w:tc>
        <w:tc>
          <w:tcPr/>
          <w:p>
            <w:pPr>
              <w:pStyle w:val="Compact"/>
            </w:pPr>
            <w:r>
              <w:t xml:space="preserve">Intenta una vez más. Si persiste, usa un canal directo de TI y reporta la hora aproximada del incidente.</w:t>
            </w:r>
          </w:p>
        </w:tc>
      </w:tr>
    </w:tbl>
    <w:bookmarkEnd w:id="21"/>
    <w:bookmarkStart w:id="25" w:name="_3d0e00ef77ef7c4117080d6d1c9d606145ee338"/>
    <w:p>
      <w:pPr>
        <w:pStyle w:val="Heading2"/>
      </w:pPr>
      <w:r>
        <w:t xml:space="preserve">8. Documentación relacionada</w:t>
      </w:r>
    </w:p>
    <w:p>
      <w:pPr>
        <w:pStyle w:val="Compact"/>
        <w:numPr>
          <w:ilvl w:val="0"/>
          <w:numId w:val="1009"/>
        </w:numPr>
      </w:pPr>
      <w:hyperlink r:id="rId22">
        <w:r>
          <w:rPr>
            <w:rStyle w:val="Hyperlink"/>
          </w:rPr>
          <w:t xml:space="preserve">Manual técnico integral</w:t>
        </w:r>
      </w:hyperlink>
      <w:r>
        <w:t xml:space="preserve">: arquitectura y operación para soporte técnico.</w:t>
      </w:r>
    </w:p>
    <w:p>
      <w:pPr>
        <w:pStyle w:val="Compact"/>
        <w:numPr>
          <w:ilvl w:val="0"/>
          <w:numId w:val="1009"/>
        </w:numPr>
      </w:pPr>
      <w:hyperlink r:id="rId23">
        <w:r>
          <w:rPr>
            <w:rStyle w:val="Hyperlink"/>
          </w:rPr>
          <w:t xml:space="preserve">Guía para replicar y operar UniMon</w:t>
        </w:r>
      </w:hyperlink>
      <w:r>
        <w:t xml:space="preserve">: instalación y mapa completo del repositorio.</w:t>
      </w:r>
    </w:p>
    <w:p>
      <w:pPr>
        <w:pStyle w:val="Compact"/>
        <w:numPr>
          <w:ilvl w:val="0"/>
          <w:numId w:val="1009"/>
        </w:numPr>
      </w:pPr>
      <w:hyperlink r:id="rId24">
        <w:r>
          <w:rPr>
            <w:rStyle w:val="Hyperlink"/>
          </w:rPr>
          <w:t xml:space="preserve">Flujo de procesamiento</w:t>
        </w:r>
      </w:hyperlink>
      <w:r>
        <w:t xml:space="preserve">: recorrido técnico de una consulta.</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MANUAL_TECNICO_INTEGRAL.md" TargetMode="External" /><Relationship Type="http://schemas.openxmlformats.org/officeDocument/2006/relationships/hyperlink" Id="rId23" Target="REPLICAR_Y_OPERAR_UNIMON.md" TargetMode="External" /><Relationship Type="http://schemas.openxmlformats.org/officeDocument/2006/relationships/hyperlink" Id="rId24" Target="flujo_procesamiento_sistema.md" TargetMode="External" /></Relationships>
</file>

<file path=word/_rels/footnotes.xml.rels><?xml version="1.0" encoding="UTF-8"?><Relationships xmlns="http://schemas.openxmlformats.org/package/2006/relationships"><Relationship Type="http://schemas.openxmlformats.org/officeDocument/2006/relationships/hyperlink" Id="rId22" Target="MANUAL_TECNICO_INTEGRAL.md" TargetMode="External" /><Relationship Type="http://schemas.openxmlformats.org/officeDocument/2006/relationships/hyperlink" Id="rId23" Target="REPLICAR_Y_OPERAR_UNIMON.md" TargetMode="External" /><Relationship Type="http://schemas.openxmlformats.org/officeDocument/2006/relationships/hyperlink" Id="rId24" Target="flujo_procesamiento_sistema.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2026-10-06T16:44:44Z</dcterms:created>
  <dcterms:modified xsi:type="dcterms:W3CDTF">2026-10-06T16:44:44Z</dcterms:modified>
</cp:coreProperties>
</file>

<file path=docProps/custom.xml><?xml version="1.0" encoding="utf-8"?>
<Properties xmlns="http://schemas.openxmlformats.org/officeDocument/2006/custom-properties" xmlns:vt="http://schemas.openxmlformats.org/officeDocument/2006/docPropsVTypes"/>
</file>