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_7ed6c090e85b48e20501036ed6bdc2a8c12bb4f"/>
    <w:p>
      <w:pPr>
        <w:pStyle w:val="Heading1"/>
      </w:pPr>
      <w:r>
        <w:t xml:space="preserve">Flujo de procesamiento de UniMon</w:t>
      </w:r>
    </w:p>
    <w:p>
      <w:pPr>
        <w:pStyle w:val="FirstParagraph"/>
      </w:pPr>
      <w:r>
        <w:t xml:space="preserve">Este documento describe el código actual del repositorio a 6 de octubre de 2026. Para instalar el proyecto, ver el</w:t>
      </w:r>
      <w:r>
        <w:t xml:space="preserve"> </w:t>
      </w:r>
      <w:hyperlink r:id="rId9">
        <w:r>
          <w:rPr>
            <w:rStyle w:val="Hyperlink"/>
          </w:rPr>
          <w:t xml:space="preserve">manual técnico</w:t>
        </w:r>
      </w:hyperlink>
      <w:r>
        <w:t xml:space="preserve"> </w:t>
      </w:r>
      <w:r>
        <w:t xml:space="preserve">y la</w:t>
      </w:r>
      <w:r>
        <w:t xml:space="preserve"> </w:t>
      </w:r>
      <w:hyperlink r:id="rId10">
        <w:r>
          <w:rPr>
            <w:rStyle w:val="Hyperlink"/>
          </w:rPr>
          <w:t xml:space="preserve">guía para el próximo practicante</w:t>
        </w:r>
      </w:hyperlink>
      <w:r>
        <w:t xml:space="preserve">.</w:t>
      </w:r>
    </w:p>
    <w:bookmarkStart w:id="14" w:name="_cc51ec95c3f1786f636d20ffad0a2086b0dc2fb"/>
    <w:p>
      <w:pPr>
        <w:pStyle w:val="Heading2"/>
      </w:pPr>
      <w:r>
        <w:t xml:space="preserve">Recorrido de una pregunta</w:t>
      </w:r>
    </w:p>
    <w:p>
      <w:pPr>
        <w:pStyle w:val="CaptionedFigure"/>
      </w:pPr>
      <w:r>
        <w:drawing>
          <wp:inline>
            <wp:extent cx="5334000" cy="4723397"/>
            <wp:effectExtent b="0" l="0" r="0" t="0"/>
            <wp:docPr descr="Flujo de procesamiento (PlantUML)" title="" id="12" name="Picture"/>
            <a:graphic>
              <a:graphicData uri="http://schemas.openxmlformats.org/drawingml/2006/picture">
                <pic:pic>
                  <pic:nvPicPr>
                    <pic:cNvPr descr="flujo_procesamiento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3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de procesamiento (PlantUML)</w:t>
      </w:r>
    </w:p>
    <w:bookmarkEnd w:id="14"/>
    <w:bookmarkStart w:id="15" w:name="_2b43619a83fa5d7a2138e859391add12bffa9bb"/>
    <w:p>
      <w:pPr>
        <w:pStyle w:val="Heading2"/>
      </w:pPr>
      <w:r>
        <w:t xml:space="preserve">1. Presentación y API</w:t>
      </w:r>
    </w:p>
    <w:p>
      <w:pPr>
        <w:pStyle w:val="Compact"/>
        <w:numPr>
          <w:ilvl w:val="0"/>
          <w:numId w:val="1001"/>
        </w:numPr>
      </w:pPr>
      <w:r>
        <w:t xml:space="preserve">La raíz GET / sirve app/static/index.html.</w:t>
      </w:r>
    </w:p>
    <w:p>
      <w:pPr>
        <w:pStyle w:val="Compact"/>
        <w:numPr>
          <w:ilvl w:val="0"/>
          <w:numId w:val="1001"/>
        </w:numPr>
      </w:pPr>
      <w:r>
        <w:t xml:space="preserve">El navegador conserva un session_id en sessionStorage por pestaña y el botón Nueva conversación crea otro.</w:t>
      </w:r>
    </w:p>
    <w:p>
      <w:pPr>
        <w:pStyle w:val="Compact"/>
        <w:numPr>
          <w:ilvl w:val="0"/>
          <w:numId w:val="1001"/>
        </w:numPr>
      </w:pPr>
      <w:r>
        <w:t xml:space="preserve">POST /api/chat acepta mensaje o message y session_id. Se rechaza texto vacío; se limita a 600 caracteres y se eliminan etiquetas HTML.</w:t>
      </w:r>
    </w:p>
    <w:p>
      <w:pPr>
        <w:pStyle w:val="Compact"/>
        <w:numPr>
          <w:ilvl w:val="0"/>
          <w:numId w:val="1001"/>
        </w:numPr>
      </w:pPr>
      <w:r>
        <w:t xml:space="preserve">Se evalúa posible prompt injection antes de neutralizar la cadena, para no perder la señal de seguridad.</w:t>
      </w:r>
    </w:p>
    <w:p>
      <w:pPr>
        <w:pStyle w:val="Compact"/>
        <w:numPr>
          <w:ilvl w:val="0"/>
          <w:numId w:val="1001"/>
        </w:numPr>
      </w:pPr>
      <w:r>
        <w:t xml:space="preserve">slowapi aplica el límite configurado por defecto de 30 requests/minuto. El comportamiento por proxy depende de la configuración de red/Uvicorn.</w:t>
      </w:r>
    </w:p>
    <w:p>
      <w:pPr>
        <w:pStyle w:val="Compact"/>
        <w:numPr>
          <w:ilvl w:val="0"/>
          <w:numId w:val="1001"/>
        </w:numPr>
      </w:pPr>
      <w:r>
        <w:t xml:space="preserve">WhatsApp entra por GET /api/whatsapp para handshake y POST /api/whatsapp para eventos; el router delega el trabajo en segundo plano a WhatsAppService.</w:t>
      </w:r>
    </w:p>
    <w:bookmarkEnd w:id="15"/>
    <w:bookmarkStart w:id="16" w:name="_b3777a917a2e2341dc930cb8d2cf98fa098e7de"/>
    <w:p>
      <w:pPr>
        <w:pStyle w:val="Heading2"/>
      </w:pPr>
      <w:r>
        <w:t xml:space="preserve">2. Router conversacional y reglas</w:t>
      </w:r>
    </w:p>
    <w:p>
      <w:pPr>
        <w:pStyle w:val="FirstParagraph"/>
      </w:pPr>
      <w:r>
        <w:t xml:space="preserve">RouterLogic mantiene el estado y el historial en memoria por session_id. Reglas directas pueden responder sin invocar RAG. El modelo de intención distingue autoservicio de fallas que necesitan soporte físico; las preguntas ajenas al dominio o que piden decisiones académicas reciben una limitación.</w:t>
      </w:r>
    </w:p>
    <w:p>
      <w:pPr>
        <w:pStyle w:val="BodyText"/>
      </w:pPr>
      <w:r>
        <w:t xml:space="preserve">El rol puede inferirse o conservarse para reglas/personalización, pero no se usa para excluir por audiencia los documentos del índice. RAG puede aplicar filtros de categoría temática para algunas consultas de finanzas, asuntos académicos, identidad o hardware. Metadato audience no es un filtro de roles.</w:t>
      </w:r>
    </w:p>
    <w:p>
      <w:pPr>
        <w:pStyle w:val="BodyText"/>
      </w:pPr>
      <w:r>
        <w:t xml:space="preserve">Los mensajes de estado pueden solicitar retroalimentación, solicitar nombre/correo/descripción para un ticket, preguntar si se quiere agregar seguimiento, cancelar o informar ticket creado. El estado de sesión no sobrevive a reinicio de proceso. El limpiador TTL corre cada cinco minutos y expira sesiones con más de veinte minutos de inactividad.</w:t>
      </w:r>
    </w:p>
    <w:bookmarkEnd w:id="16"/>
    <w:bookmarkStart w:id="19" w:name="_89cf316dcb68285b47d98d101a63febfd58e805"/>
    <w:p>
      <w:pPr>
        <w:pStyle w:val="Heading2"/>
      </w:pPr>
      <w:r>
        <w:t xml:space="preserve">3. Recuperación y generación RAG</w:t>
      </w:r>
    </w:p>
    <w:bookmarkStart w:id="17" w:name="_recuperación"/>
    <w:p>
      <w:pPr>
        <w:pStyle w:val="Heading3"/>
      </w:pPr>
      <w:r>
        <w:t xml:space="preserve">Recuperación</w:t>
      </w:r>
    </w:p>
    <w:p>
      <w:pPr>
        <w:pStyle w:val="Compact"/>
        <w:numPr>
          <w:ilvl w:val="0"/>
          <w:numId w:val="1002"/>
        </w:numPr>
      </w:pPr>
      <w:r>
        <w:t xml:space="preserve">Normaliza la pregunta, genera hasta tres variantes MultiQuery en español y conserva también la pregunta original (hasta cuatro consultas), preservando acción/plataforma.</w:t>
      </w:r>
    </w:p>
    <w:p>
      <w:pPr>
        <w:pStyle w:val="Compact"/>
        <w:numPr>
          <w:ilvl w:val="0"/>
          <w:numId w:val="1002"/>
        </w:numPr>
      </w:pPr>
      <w:r>
        <w:t xml:space="preserve">Consulta embeddings E5 en Chroma, hasta ocho resultados por variante, con prefijo query: y metadatos temáticos si aplican.</w:t>
      </w:r>
    </w:p>
    <w:p>
      <w:pPr>
        <w:pStyle w:val="Compact"/>
        <w:numPr>
          <w:ilvl w:val="0"/>
          <w:numId w:val="1002"/>
        </w:numPr>
      </w:pPr>
      <w:r>
        <w:t xml:space="preserve">Agrega candidatos por recuperación léxica BM25, combina y deduplica.</w:t>
      </w:r>
    </w:p>
    <w:p>
      <w:pPr>
        <w:pStyle w:val="Compact"/>
        <w:numPr>
          <w:ilvl w:val="0"/>
          <w:numId w:val="1002"/>
        </w:numPr>
      </w:pPr>
      <w:r>
        <w:t xml:space="preserve">Reordena hasta ochenta candidatos con Cross-Encoder. El score sirve para ordenar; no equivale a probabilidad calibrada de acierto ni hay un cutoff general validado.</w:t>
      </w:r>
    </w:p>
    <w:p>
      <w:pPr>
        <w:pStyle w:val="Compact"/>
        <w:numPr>
          <w:ilvl w:val="0"/>
          <w:numId w:val="1002"/>
        </w:numPr>
      </w:pPr>
      <w:r>
        <w:t xml:space="preserve">Selectores y coincidencia entre intención/pregunta/título ayudan a preservar documentos candidatos pertinentes.</w:t>
      </w:r>
    </w:p>
    <w:p>
      <w:pPr>
        <w:pStyle w:val="Compact"/>
        <w:numPr>
          <w:ilvl w:val="0"/>
          <w:numId w:val="1002"/>
        </w:numPr>
      </w:pPr>
      <w:r>
        <w:t xml:space="preserve">Si se puede verificar el ID determinista y los metadatos, trae secuencia cercana del mismo archivo en páginas adyacentes. Marca anclas y ordena por fuente/página/chunk.</w:t>
      </w:r>
    </w:p>
    <w:p>
      <w:pPr>
        <w:pStyle w:val="Compact"/>
        <w:numPr>
          <w:ilvl w:val="0"/>
          <w:numId w:val="1002"/>
        </w:numPr>
      </w:pPr>
      <w:r>
        <w:t xml:space="preserve">El ajustador prioriza anclas y luego vecinos dentro del presupuesto estimado. Procedimental: 3.800 tokens estimados, hasta 16 anclas y 24 chunks finales. Consulta directa: 1.400 tokens, hasta 4 anclas y 8 chunks finales. La estimación usa caracteres/3, no tokenizer exacto.</w:t>
      </w:r>
    </w:p>
    <w:bookmarkEnd w:id="17"/>
    <w:bookmarkStart w:id="18" w:name="_ingesta"/>
    <w:p>
      <w:pPr>
        <w:pStyle w:val="Heading3"/>
      </w:pPr>
      <w:r>
        <w:t xml:space="preserve">Ingesta</w:t>
      </w:r>
    </w:p>
    <w:p>
      <w:pPr>
        <w:pStyle w:val="FirstParagraph"/>
      </w:pPr>
      <w:r>
        <w:t xml:space="preserve">El pipeline principal procesa PDF y PPTX, extrae contenido por página/diapositiva, tablas e imágenes, limpia boilerplate, segmenta con 800 caracteres y overlap de 150 y persiste embeddings/chunks con metadatos. La interpretación visual requiere Ollama con un modelo de visión; si falta, continúa texto solamente. DOCX y XLSX que estén en data/docs no se indexan por este ingestor principal.</w:t>
      </w:r>
    </w:p>
    <w:p>
      <w:pPr>
        <w:pStyle w:val="BodyText"/>
      </w:pPr>
      <w:r>
        <w:t xml:space="preserve">Un chunk es una unidad textual con embedding. Overlap repite 150 caracteres entre fragmentos contiguos para preservar contexto al cruzar un corte. Puede aumentar duplicados y almacenamiento; la deduplicación no se activa automáticamente por el mero hecho de tener overlap.</w:t>
      </w:r>
    </w:p>
    <w:bookmarkEnd w:id="18"/>
    <w:bookmarkEnd w:id="19"/>
    <w:bookmarkStart w:id="20" w:name="_b291f85842b09d1a7b28f26f8b2c2b1be6d14d4"/>
    <w:p>
      <w:pPr>
        <w:pStyle w:val="Heading2"/>
      </w:pPr>
      <w:r>
        <w:t xml:space="preserve">4. Respuesta y fuentes</w:t>
      </w:r>
    </w:p>
    <w:p>
      <w:pPr>
        <w:pStyle w:val="FirstParagraph"/>
      </w:pPr>
      <w:r>
        <w:t xml:space="preserve">LLMClient utiliza el proveedor indicado por LLM_PROVIDER. El flujo conversacional puede caer a Ollama local cuando Gemini/OpenAI no están configurados o fallan. Por eso revisa proveedor y modelo efectivos; no basta leer .env.example. Las instrucciones de RAG piden resolver con empatía, contestar partes explícitas y no inventar rutas, permisos, contraseñas ni plazos.</w:t>
      </w:r>
    </w:p>
    <w:p>
      <w:pPr>
        <w:pStyle w:val="BodyText"/>
      </w:pPr>
      <w:r>
        <w:t xml:space="preserve">Respuesta incluye tipo/mensaje, estado, opciones rápidas, fuentes y contadores cuando aplica. El nombre de una fuente dice qué fragmentos se usaron, pero no garantiza la calidad. Revisa el contenido exacto y verifica la acción solicitada.</w:t>
      </w:r>
    </w:p>
    <w:p>
      <w:pPr>
        <w:pStyle w:val="BodyText"/>
      </w:pPr>
      <w:r>
        <w:t xml:space="preserve">Golden Cache puede encontrar una pregunta similar y añadir la formulación a la búsqueda. En la composición factual actual se ignora la respuesta almacenada. El “Sí” del usuario puede guardar una interacción si los validadores locales la permiten, pero no constituye por sí mismo verificación independiente.</w:t>
      </w:r>
    </w:p>
    <w:bookmarkEnd w:id="20"/>
    <w:bookmarkStart w:id="21" w:name="_06081840c296109b97ad35f23a5605524164329"/>
    <w:p>
      <w:pPr>
        <w:pStyle w:val="Heading2"/>
      </w:pPr>
      <w:r>
        <w:t xml:space="preserve">5. Tickets e integraciones</w:t>
      </w:r>
    </w:p>
    <w:p>
      <w:pPr>
        <w:pStyle w:val="FirstParagraph"/>
      </w:pPr>
      <w:r>
        <w:t xml:space="preserve">GLPI se invoca solo en flujo de solicitud explícita/escalamiento. GLPIService autentica con app/user token, crea el ticket, asocia solicitante y cierra sesión remota; puede consultar y añadir seguimiento según flujo. Verifica respuesta real del servidor y número de ticket.</w:t>
      </w:r>
    </w:p>
    <w:p>
      <w:pPr>
        <w:pStyle w:val="BodyText"/>
      </w:pPr>
      <w:r>
        <w:t xml:space="preserve">WhatsAppService valida handshake, deduplica eventos por message_id durante diez minutos en memoria, convierte Markdown y llama Graph API. La firma HMAC se comprueba si se configura el app secret y viene la cabecera correspondiente; configura secret y despliegue antes de exponerse. El trabajo del webhook corre como BackgroundTask dentro del proceso, no como cola durable.</w:t>
      </w:r>
    </w:p>
    <w:bookmarkEnd w:id="21"/>
    <w:bookmarkStart w:id="22" w:name="_0ed9ded883a243629be6215f16470c64d7652d6"/>
    <w:p>
      <w:pPr>
        <w:pStyle w:val="Heading2"/>
      </w:pPr>
      <w:r>
        <w:t xml:space="preserve">6. Persistencia y límites de escala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Estado/dato</w:t>
            </w:r>
          </w:p>
        </w:tc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Chunks RAG</w:t>
            </w:r>
          </w:p>
        </w:tc>
        <w:tc>
          <w:tcPr/>
          <w:p>
            <w:pPr>
              <w:pStyle w:val="Compact"/>
            </w:pPr>
            <w:r>
              <w:t xml:space="preserve">Chroma en CHROMA_DB_DIR</w:t>
            </w:r>
          </w:p>
        </w:tc>
        <w:tc>
          <w:tcPr/>
          <w:p>
            <w:pPr>
              <w:pStyle w:val="Compact"/>
            </w:pPr>
            <w:r>
              <w:t xml:space="preserve">Persisten entre reinicios; se reconstruyen desde documentos compatibles.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Cache</w:t>
            </w:r>
          </w:p>
        </w:tc>
        <w:tc>
          <w:tcPr/>
          <w:p>
            <w:pPr>
              <w:pStyle w:val="Compact"/>
            </w:pPr>
            <w:r>
              <w:t xml:space="preserve">Chroma en GOLDEN_CACHE_DB_DIR</w:t>
            </w:r>
          </w:p>
        </w:tc>
        <w:tc>
          <w:tcPr/>
          <w:p>
            <w:pPr>
              <w:pStyle w:val="Compact"/>
            </w:pPr>
            <w:r>
              <w:t xml:space="preserve">Separado del corpus.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Métricas</w:t>
            </w:r>
          </w:p>
        </w:tc>
        <w:tc>
          <w:tcPr/>
          <w:p>
            <w:pPr>
              <w:pStyle w:val="Compact"/>
            </w:pPr>
            <w:r>
              <w:t xml:space="preserve">SQLite en data/analytics.db</w:t>
            </w:r>
          </w:p>
        </w:tc>
        <w:tc>
          <w:tcPr/>
          <w:p>
            <w:pPr>
              <w:pStyle w:val="Compact"/>
            </w:pPr>
            <w:r>
              <w:t xml:space="preserve">Persiste registros analíticos, no memoria de diálogo.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Sesión/historial</w:t>
            </w:r>
          </w:p>
        </w:tc>
        <w:tc>
          <w:tcPr/>
          <w:p>
            <w:pPr>
              <w:pStyle w:val="Compact"/>
            </w:pPr>
            <w:r>
              <w:t xml:space="preserve">Diccionarios de Python</w:t>
            </w:r>
          </w:p>
        </w:tc>
        <w:tc>
          <w:tcPr/>
          <w:p>
            <w:pPr>
              <w:pStyle w:val="Compact"/>
            </w:pPr>
            <w:r>
              <w:t xml:space="preserve">Se pierde al reiniciar; no compartido por múltiples workers.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Dedupe de WhatsApp</w:t>
            </w:r>
          </w:p>
        </w:tc>
        <w:tc>
          <w:tcPr/>
          <w:p>
            <w:pPr>
              <w:pStyle w:val="Compact"/>
            </w:pPr>
            <w:r>
              <w:t xml:space="preserve">Diccionario Python con TTL</w:t>
            </w:r>
          </w:p>
        </w:tc>
        <w:tc>
          <w:tcPr/>
          <w:p>
            <w:pPr>
              <w:pStyle w:val="Compact"/>
            </w:pPr>
            <w:r>
              <w:t xml:space="preserve">Un reinicio permite procesar de nuevo un webhook repetido.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Visión</w:t>
            </w:r>
          </w:p>
        </w:tc>
        <w:tc>
          <w:tcPr/>
          <w:p>
            <w:pPr>
              <w:pStyle w:val="Compact"/>
            </w:pPr>
            <w:r>
              <w:t xml:space="preserve">data/.vision_cache.json</w:t>
            </w:r>
          </w:p>
        </w:tc>
        <w:tc>
          <w:tcPr/>
          <w:p>
            <w:pPr>
              <w:pStyle w:val="Compact"/>
            </w:pPr>
            <w:r>
              <w:t xml:space="preserve">Evita repetir descripciones para imágenes con hash conocido.</w:t>
            </w:r>
          </w:p>
        </w:tc>
      </w:tr>
    </w:tbl>
    <w:p>
      <w:pPr>
        <w:pStyle w:val="FirstParagraph"/>
      </w:pPr>
      <w:r>
        <w:t xml:space="preserve">Para escalar horizontalmente se necesita mover sesiones e idempotencia a un almacén compartido, procesar webhooks en una cola durable, revisar bloqueos SQLite/Chroma, distribuir modelos y medir proveedor/cuotas/latencia. El resultado de 50 consultas concurrentes en desarrollo no es garantía productiva.</w:t>
      </w:r>
    </w:p>
    <w:bookmarkEnd w:id="22"/>
    <w:bookmarkStart w:id="23" w:name="_ab4b2fd8d1981ea8ddb39fcd7e22a9fd67102c6"/>
    <w:p>
      <w:pPr>
        <w:pStyle w:val="Heading2"/>
      </w:pPr>
      <w:r>
        <w:t xml:space="preserve">7. Calidad observada</w:t>
      </w:r>
    </w:p>
    <w:p>
      <w:pPr>
        <w:pStyle w:val="FirstParagraph"/>
      </w:pPr>
      <w:r>
        <w:t xml:space="preserve">Última prueba registrada: 50 sesiones simultáneas, 50 respuestas HTTP, 0 errores 429/5xx, fuente esperada 49/49 verificables, p50 65,1 s, p95 70,7 s, máximo 85,9 s. Evaluación estricta 25 correctas de 50 (50%). Consultar el reporte con forma de carga y resultados antes de hacer comparaciones. Esto confirma disponibilidad de esa corrida, no precisión objetivo ni SLA.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MANUAL_TECNICO_INTEGRAL.md" TargetMode="External" /><Relationship Type="http://schemas.openxmlformats.org/officeDocument/2006/relationships/hyperlink" Id="rId10" Target="REPLICAR_Y_OPERAR_UNIM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NUAL_TECNICO_INTEGRAL.md" TargetMode="External" /><Relationship Type="http://schemas.openxmlformats.org/officeDocument/2006/relationships/hyperlink" Id="rId10" Target="REPLICAR_Y_OPERAR_UNIM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2026-10-06T16:48:10Z</dcterms:created>
  <dcterms:modified xsi:type="dcterms:W3CDTF">2026-10-06T16:48:10Z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