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512DB88D" w14:textId="77777777" w:rsidR="00C344E9" w:rsidRDefault="00C344E9" w:rsidP="00C344E9">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Figure 2. </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C1BB042"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77777777"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47BB9D6F"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66FC7A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58B1A2AE"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77777777" w:rsidR="00206CD2" w:rsidRDefault="00206CD2" w:rsidP="00056F5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09A93493" w:rsidR="00056F56" w:rsidRPr="005B2076" w:rsidRDefault="00206CD2" w:rsidP="005B207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BF54D3F" w14:textId="77777777" w:rsidR="001B5DDA" w:rsidRPr="00206CD2" w:rsidRDefault="001B5DDA" w:rsidP="005B2076">
      <w:pPr>
        <w:pStyle w:val="ListParagraph"/>
        <w:bidi w:val="0"/>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30E77CD3"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lastRenderedPageBreak/>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1E39FD57" w14:textId="5A336383" w:rsidR="00FC32A8" w:rsidRPr="0061531C" w:rsidRDefault="004A4077"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7CBA767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85F8940" w14:textId="77777777" w:rsidR="00C95B7C" w:rsidRPr="005B2076" w:rsidRDefault="00C95B7C" w:rsidP="005B2076">
      <w:pPr>
        <w:bidi w:val="0"/>
        <w:spacing w:before="240"/>
        <w:jc w:val="both"/>
        <w:rPr>
          <w:rFonts w:ascii="Century Schoolbook" w:hAnsi="Century Schoolbook"/>
          <w:sz w:val="22"/>
          <w:szCs w:val="22"/>
        </w:rPr>
      </w:pP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C7B05A9"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 xml:space="preserve">could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44EDAED6"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proofErr w:type="spellStart"/>
      <w:proofErr w:type="gramStart"/>
      <w:r>
        <w:rPr>
          <w:rFonts w:ascii="Century Schoolbook" w:hAnsi="Century Schoolbook"/>
          <w:i/>
          <w:iCs/>
          <w:sz w:val="22"/>
          <w:szCs w:val="22"/>
        </w:rPr>
        <w:t>removeBinaryNode</w:t>
      </w:r>
      <w:proofErr w:type="spellEnd"/>
      <w:r>
        <w:rPr>
          <w:rFonts w:ascii="Century Schoolbook" w:hAnsi="Century Schoolbook"/>
          <w:i/>
          <w:iCs/>
          <w:sz w:val="22"/>
          <w:szCs w:val="22"/>
        </w:rPr>
        <w:t>(</w:t>
      </w:r>
      <w:proofErr w:type="gramEnd"/>
      <w:r>
        <w:rPr>
          <w:rFonts w:ascii="Century Schoolbook" w:hAnsi="Century Schoolbook"/>
          <w:i/>
          <w:iCs/>
          <w:sz w:val="22"/>
          <w:szCs w:val="22"/>
        </w:rPr>
        <w:t>)</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proofErr w:type="spellStart"/>
      <w:r w:rsidR="003562C6">
        <w:rPr>
          <w:rFonts w:ascii="Century Schoolbook" w:hAnsi="Century Schoolbook"/>
          <w:i/>
          <w:iCs/>
          <w:sz w:val="22"/>
          <w:szCs w:val="22"/>
        </w:rPr>
        <w:t>succ</w:t>
      </w:r>
      <w:proofErr w:type="spellEnd"/>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54949">
        <w:rPr>
          <w:rFonts w:ascii="Century Schoolbook" w:hAnsi="Century Schoolbook"/>
          <w:i/>
          <w:iCs/>
          <w:sz w:val="22"/>
          <w:szCs w:val="22"/>
        </w:rPr>
        <w:t xml:space="preserve">’s </w:t>
      </w:r>
      <w:r w:rsidR="00F54949">
        <w:rPr>
          <w:rFonts w:ascii="Century Schoolbook" w:hAnsi="Century Schoolbook"/>
          <w:sz w:val="22"/>
          <w:szCs w:val="22"/>
        </w:rPr>
        <w:t>right subtree isn’t empty</w:t>
      </w:r>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r w:rsidR="00675BD9">
        <w:rPr>
          <w:rFonts w:ascii="Century Schoolbook" w:hAnsi="Century Schoolbook"/>
          <w:sz w:val="22"/>
          <w:szCs w:val="22"/>
        </w:rPr>
        <w:t xml:space="preserve">case </w:t>
      </w:r>
      <w:proofErr w:type="spellStart"/>
      <w:r w:rsidR="009256EB">
        <w:rPr>
          <w:rFonts w:ascii="Century Schoolbook" w:hAnsi="Century Schoolbook"/>
          <w:i/>
          <w:iCs/>
          <w:sz w:val="22"/>
          <w:szCs w:val="22"/>
        </w:rPr>
        <w:t>succ_pred</w:t>
      </w:r>
      <w:proofErr w:type="spellEnd"/>
      <w:r w:rsidR="009256EB">
        <w:rPr>
          <w:rFonts w:ascii="Century Schoolbook" w:hAnsi="Century Schoolbook"/>
          <w:i/>
          <w:iCs/>
          <w:sz w:val="22"/>
          <w:szCs w:val="22"/>
        </w:rPr>
        <w:t xml:space="preserve">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r w:rsidR="00675BD9">
        <w:rPr>
          <w:rFonts w:ascii="Century Schoolbook" w:hAnsi="Century Schoolbook"/>
          <w:sz w:val="22"/>
          <w:szCs w:val="22"/>
        </w:rPr>
        <w:t>Similarly,</w:t>
      </w:r>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 xml:space="preserve">of node-lock acquisition. </w:t>
      </w:r>
    </w:p>
    <w:p w14:paraId="4AF8DC36" w14:textId="63BBA55A"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lastRenderedPageBreak/>
        <w:t>The second case</w:t>
      </w:r>
      <w:r>
        <w:rPr>
          <w:rFonts w:ascii="Century Schoolbook" w:eastAsiaTheme="minorEastAsia" w:hAnsi="Century Schoolbook"/>
          <w:sz w:val="22"/>
          <w:szCs w:val="22"/>
        </w:rPr>
        <w:t xml:space="preserve"> is similar to the last case</w:t>
      </w:r>
      <w:r w:rsidR="009F09B2">
        <w:rPr>
          <w:rFonts w:ascii="Century Schoolbook" w:eastAsiaTheme="minorEastAsia" w:hAnsi="Century Schoolbook"/>
          <w:sz w:val="22"/>
          <w:szCs w:val="22"/>
        </w:rPr>
        <w:t>. U</w:t>
      </w:r>
      <w:r w:rsidR="009F09B2">
        <w:rPr>
          <w:rFonts w:ascii="Century Schoolbook" w:eastAsiaTheme="minorEastAsia" w:hAnsi="Century Schoolbook"/>
          <w:sz w:val="22"/>
          <w:szCs w:val="22"/>
        </w:rPr>
        <w:t xml:space="preserve">sing the same terms </w:t>
      </w:r>
      <w:r w:rsidR="009F09B2">
        <w:rPr>
          <w:rFonts w:ascii="Century Schoolbook" w:eastAsiaTheme="minorEastAsia" w:hAnsi="Century Schoolbook"/>
          <w:sz w:val="22"/>
          <w:szCs w:val="22"/>
        </w:rPr>
        <w:t xml:space="preserve">from </w:t>
      </w:r>
      <w:r w:rsidR="009F09B2">
        <w:rPr>
          <w:rFonts w:ascii="Century Schoolbook" w:eastAsiaTheme="minorEastAsia" w:hAnsi="Century Schoolbook"/>
          <w:sz w:val="22"/>
          <w:szCs w:val="22"/>
        </w:rPr>
        <w:t>the last case</w:t>
      </w:r>
      <w:r w:rsidR="009F09B2">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it’s when we call </w:t>
      </w:r>
      <w:proofErr w:type="spellStart"/>
      <w:proofErr w:type="gramStart"/>
      <w:r>
        <w:rPr>
          <w:rFonts w:ascii="Century Schoolbook" w:eastAsiaTheme="minorEastAsia" w:hAnsi="Century Schoolbook"/>
          <w:i/>
          <w:iCs/>
          <w:sz w:val="22"/>
          <w:szCs w:val="22"/>
        </w:rPr>
        <w:t>removeWithNonLeafSuccessor</w:t>
      </w:r>
      <w:proofErr w:type="spellEnd"/>
      <w:r>
        <w:rPr>
          <w:rFonts w:ascii="Century Schoolbook" w:eastAsiaTheme="minorEastAsia" w:hAnsi="Century Schoolbook"/>
          <w:i/>
          <w:iCs/>
          <w:sz w:val="22"/>
          <w:szCs w:val="22"/>
        </w:rPr>
        <w:t>(</w:t>
      </w:r>
      <w:proofErr w:type="gramEnd"/>
      <w:r>
        <w:rPr>
          <w:rFonts w:ascii="Century Schoolbook" w:eastAsiaTheme="minorEastAsia" w:hAnsi="Century Schoolbook"/>
          <w:i/>
          <w:iCs/>
          <w:sz w:val="22"/>
          <w:szCs w:val="22"/>
        </w:rPr>
        <w:t>)</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proofErr w:type="spellStart"/>
      <w:r w:rsidR="00443472">
        <w:rPr>
          <w:rFonts w:ascii="Century Schoolbook" w:eastAsiaTheme="minorEastAsia" w:hAnsi="Century Schoolbook"/>
          <w:i/>
          <w:iCs/>
          <w:sz w:val="22"/>
          <w:szCs w:val="22"/>
        </w:rPr>
        <w:t>removeBinaryNode</w:t>
      </w:r>
      <w:proofErr w:type="spellEnd"/>
      <w:r w:rsidR="00443472">
        <w:rPr>
          <w:rFonts w:ascii="Century Schoolbook" w:eastAsiaTheme="minorEastAsia" w:hAnsi="Century Schoolbook"/>
          <w:i/>
          <w:iCs/>
          <w:sz w:val="22"/>
          <w:szCs w:val="22"/>
        </w:rPr>
        <w:t>()</w:t>
      </w:r>
      <w:r w:rsidR="00443472">
        <w:rPr>
          <w:rFonts w:ascii="Century Schoolbook" w:eastAsiaTheme="minorEastAsia" w:hAnsi="Century Schoolbook"/>
          <w:sz w:val="22"/>
          <w:szCs w:val="22"/>
        </w:rPr>
        <w:t xml:space="preserve"> call – </w:t>
      </w:r>
      <w:r w:rsidR="009F09B2">
        <w:rPr>
          <w:rFonts w:ascii="Century Schoolbook" w:eastAsiaTheme="minorEastAsia" w:hAnsi="Century Schoolbook"/>
          <w:sz w:val="22"/>
          <w:szCs w:val="22"/>
        </w:rPr>
        <w:t xml:space="preserve">which is done when we want to replace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F09B2">
        <w:rPr>
          <w:rFonts w:ascii="Century Schoolbook" w:eastAsiaTheme="minorEastAsia" w:hAnsi="Century Schoolbook"/>
          <w:sz w:val="22"/>
          <w:szCs w:val="22"/>
        </w:rPr>
        <w:t xml:space="preserve"> with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but </w:t>
      </w:r>
      <w:proofErr w:type="spellStart"/>
      <w:r w:rsidR="009F09B2">
        <w:rPr>
          <w:rFonts w:ascii="Century Schoolbook" w:eastAsiaTheme="minorEastAsia" w:hAnsi="Century Schoolbook"/>
          <w:i/>
          <w:iCs/>
          <w:sz w:val="22"/>
          <w:szCs w:val="22"/>
        </w:rPr>
        <w:t>succ</w:t>
      </w:r>
      <w:proofErr w:type="spellEnd"/>
      <w:r w:rsidR="009F09B2">
        <w:rPr>
          <w:rFonts w:ascii="Century Schoolbook" w:eastAsiaTheme="minorEastAsia" w:hAnsi="Century Schoolbook"/>
          <w:i/>
          <w:iCs/>
          <w:sz w:val="22"/>
          <w:szCs w:val="22"/>
        </w:rPr>
        <w:t xml:space="preserve"> </w:t>
      </w:r>
      <w:r w:rsidR="009F09B2">
        <w:rPr>
          <w:rFonts w:ascii="Century Schoolbook" w:eastAsiaTheme="minorEastAsia" w:hAnsi="Century Schoolbook"/>
          <w:sz w:val="22"/>
          <w:szCs w:val="22"/>
        </w:rPr>
        <w:t xml:space="preserve">isn’t a leaf. </w:t>
      </w:r>
      <w:r w:rsidR="00941D6F">
        <w:rPr>
          <w:rFonts w:ascii="Century Schoolbook" w:eastAsiaTheme="minorEastAsia" w:hAnsi="Century Schoolbook"/>
          <w:sz w:val="22"/>
          <w:szCs w:val="22"/>
        </w:rPr>
        <w:t>In such case,</w:t>
      </w:r>
      <w:r w:rsidR="00675BD9">
        <w:rPr>
          <w:rFonts w:ascii="Century Schoolbook" w:eastAsiaTheme="minorEastAsia" w:hAnsi="Century Schoolbook"/>
          <w:sz w:val="22"/>
          <w:szCs w:val="22"/>
        </w:rPr>
        <w:t xml:space="preserve"> </w:t>
      </w:r>
      <w:r w:rsidR="00941D6F">
        <w:rPr>
          <w:rFonts w:ascii="Century Schoolbook" w:eastAsiaTheme="minorEastAsia" w:hAnsi="Century Schoolbook"/>
          <w:sz w:val="22"/>
          <w:szCs w:val="22"/>
        </w:rPr>
        <w:t>the last acquired node-lock is that of</w:t>
      </w:r>
      <w:r w:rsidR="00DB5CEF">
        <w:rPr>
          <w:rFonts w:ascii="Century Schoolbook" w:eastAsiaTheme="minorEastAsia" w:hAnsi="Century Schoolbook"/>
          <w:sz w:val="22"/>
          <w:szCs w:val="22"/>
        </w:rPr>
        <w:t xml:space="preserve"> </w:t>
      </w:r>
      <m:oMath>
        <m:r>
          <w:rPr>
            <w:rFonts w:ascii="Cambria Math" w:eastAsiaTheme="minorEastAsia" w:hAnsi="Cambria Math"/>
            <w:sz w:val="22"/>
            <w:szCs w:val="22"/>
          </w:rPr>
          <m:t>succ</m:t>
        </m:r>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node-lock is that of the parent of the successor of</w:t>
      </w:r>
      <w:r w:rsidR="00675BD9">
        <w:rPr>
          <w:rFonts w:ascii="Century Schoolbook" w:eastAsiaTheme="minorEastAsia" w:hAnsi="Century Schoolbook"/>
          <w:sz w:val="22"/>
          <w:szCs w:val="22"/>
        </w:rPr>
        <w:t xml:space="preserve"> </w:t>
      </w:r>
      <w:proofErr w:type="spellStart"/>
      <w:r w:rsidR="00675BD9">
        <w:rPr>
          <w:rFonts w:ascii="Century Schoolbook" w:eastAsiaTheme="minorEastAsia" w:hAnsi="Century Schoolbook"/>
          <w:i/>
          <w:iCs/>
          <w:sz w:val="22"/>
          <w:szCs w:val="22"/>
        </w:rPr>
        <w:t>succ</w:t>
      </w:r>
      <w:proofErr w:type="spellEnd"/>
      <w:r w:rsidR="00DB5CEF">
        <w:rPr>
          <w:rFonts w:ascii="Century Schoolbook" w:eastAsiaTheme="minorEastAsia" w:hAnsi="Century Schoolbook"/>
          <w:sz w:val="22"/>
          <w:szCs w:val="22"/>
        </w:rPr>
        <w:t xml:space="preserve">. </w:t>
      </w:r>
      <w:r w:rsidR="00F54949">
        <w:rPr>
          <w:rFonts w:ascii="Century Schoolbook" w:eastAsiaTheme="minorEastAsia" w:hAnsi="Century Schoolbook"/>
          <w:sz w:val="22"/>
          <w:szCs w:val="22"/>
        </w:rPr>
        <w:t xml:space="preserve">Now,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 xml:space="preserve">left subtree must always be empty (else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F54949">
        <w:rPr>
          <w:rFonts w:ascii="Century Schoolbook" w:eastAsiaTheme="minorEastAsia" w:hAnsi="Century Schoolbook"/>
          <w:sz w:val="22"/>
          <w:szCs w:val="22"/>
        </w:rPr>
        <w:t xml:space="preserve">’s successor won’t be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sz w:val="22"/>
          <w:szCs w:val="22"/>
        </w:rPr>
        <w:t xml:space="preserve">), therefore we get that </w:t>
      </w:r>
      <w:proofErr w:type="spellStart"/>
      <w:r w:rsidR="00F54949">
        <w:rPr>
          <w:rFonts w:ascii="Century Schoolbook" w:eastAsiaTheme="minorEastAsia" w:hAnsi="Century Schoolbook"/>
          <w:i/>
          <w:iCs/>
          <w:sz w:val="22"/>
          <w:szCs w:val="22"/>
        </w:rPr>
        <w:t>succ’s</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 xml:space="preserve">right subtree isn’t empty, since </w:t>
      </w:r>
      <w:proofErr w:type="spellStart"/>
      <w:r w:rsidR="00F54949">
        <w:rPr>
          <w:rFonts w:ascii="Century Schoolbook" w:eastAsiaTheme="minorEastAsia" w:hAnsi="Century Schoolbook"/>
          <w:i/>
          <w:iCs/>
          <w:sz w:val="22"/>
          <w:szCs w:val="22"/>
        </w:rPr>
        <w:t>succ</w:t>
      </w:r>
      <w:proofErr w:type="spellEnd"/>
      <w:r w:rsidR="00F54949">
        <w:rPr>
          <w:rFonts w:ascii="Century Schoolbook" w:eastAsiaTheme="minorEastAsia" w:hAnsi="Century Schoolbook"/>
          <w:i/>
          <w:iCs/>
          <w:sz w:val="22"/>
          <w:szCs w:val="22"/>
        </w:rPr>
        <w:t xml:space="preserve"> </w:t>
      </w:r>
      <w:r w:rsidR="00F54949">
        <w:rPr>
          <w:rFonts w:ascii="Century Schoolbook" w:eastAsiaTheme="minorEastAsia" w:hAnsi="Century Schoolbook"/>
          <w:sz w:val="22"/>
          <w:szCs w:val="22"/>
        </w:rPr>
        <w:t>isn’t a leaf. From here,</w:t>
      </w:r>
      <w:r w:rsidR="00991166">
        <w:rPr>
          <w:rFonts w:ascii="Century Schoolbook" w:eastAsiaTheme="minorEastAsia" w:hAnsi="Century Schoolbook"/>
          <w:sz w:val="22"/>
          <w:szCs w:val="22"/>
        </w:rPr>
        <w:t xml:space="preserve"> the same proof applies from the last case – </w:t>
      </w:r>
      <w:r w:rsidR="00EB3212">
        <w:rPr>
          <w:rFonts w:ascii="Century Schoolbook" w:eastAsiaTheme="minorEastAsia" w:hAnsi="Century Schoolbook"/>
          <w:sz w:val="22"/>
          <w:szCs w:val="22"/>
        </w:rPr>
        <w:t>we</w:t>
      </w:r>
      <w:r w:rsidR="00991166">
        <w:rPr>
          <w:rFonts w:ascii="Century Schoolbook" w:eastAsiaTheme="minorEastAsia" w:hAnsi="Century Schoolbook"/>
          <w:sz w:val="22"/>
          <w:szCs w:val="22"/>
        </w:rPr>
        <w:t xml:space="preserve"> </w:t>
      </w:r>
      <w:r w:rsidR="00EB3212">
        <w:rPr>
          <w:rFonts w:ascii="Century Schoolbook" w:eastAsiaTheme="minorEastAsia" w:hAnsi="Century Schoolbook"/>
          <w:sz w:val="22"/>
          <w:szCs w:val="22"/>
        </w:rPr>
        <w:t xml:space="preserve">just treat </w:t>
      </w:r>
      <w:proofErr w:type="spellStart"/>
      <w:r w:rsidR="00EB3212">
        <w:rPr>
          <w:rFonts w:ascii="Century Schoolbook" w:eastAsiaTheme="minorEastAsia" w:hAnsi="Century Schoolbook"/>
          <w:i/>
          <w:iCs/>
          <w:sz w:val="22"/>
          <w:szCs w:val="22"/>
        </w:rPr>
        <w:t>succ</w:t>
      </w:r>
      <w:proofErr w:type="spellEnd"/>
      <w:r w:rsidR="00EB3212">
        <w:rPr>
          <w:rFonts w:ascii="Century Schoolbook" w:eastAsiaTheme="minorEastAsia" w:hAnsi="Century Schoolbook"/>
          <w:i/>
          <w:iCs/>
          <w:sz w:val="22"/>
          <w:szCs w:val="22"/>
        </w:rPr>
        <w:t xml:space="preserve"> </w:t>
      </w:r>
      <w:r w:rsidR="00EB3212">
        <w:rPr>
          <w:rFonts w:ascii="Century Schoolbook" w:eastAsiaTheme="minorEastAsia" w:hAnsi="Century Schoolbook"/>
          <w:sz w:val="22"/>
          <w:szCs w:val="22"/>
        </w:rPr>
        <w:t xml:space="preserve">as the previous case’s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EB3212">
        <w:rPr>
          <w:rFonts w:ascii="Century Schoolbook" w:eastAsiaTheme="minorEastAsia" w:hAnsi="Century Schoolbook"/>
          <w:sz w:val="22"/>
          <w:szCs w:val="22"/>
        </w:rPr>
        <w:t>.</w:t>
      </w:r>
      <w:r w:rsidR="005B0F1B">
        <w:rPr>
          <w:rFonts w:ascii="Century Schoolbook" w:eastAsiaTheme="minorEastAsia" w:hAnsi="Century Schoolbook"/>
          <w:sz w:val="22"/>
          <w:szCs w:val="22"/>
        </w:rPr>
        <w:t xml:space="preserve"> T</w:t>
      </w:r>
      <w:r w:rsidR="00AB3715">
        <w:rPr>
          <w:rFonts w:ascii="Century Schoolbook" w:eastAsiaTheme="minorEastAsia" w:hAnsi="Century Schoolbook"/>
          <w:sz w:val="22"/>
          <w:szCs w:val="22"/>
        </w:rPr>
        <w:t xml:space="preserve">herefore, 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2272C"/>
    <w:rsid w:val="0002672F"/>
    <w:rsid w:val="00032ED2"/>
    <w:rsid w:val="0003329D"/>
    <w:rsid w:val="0004067E"/>
    <w:rsid w:val="00042405"/>
    <w:rsid w:val="000509BA"/>
    <w:rsid w:val="0005144E"/>
    <w:rsid w:val="00052E0F"/>
    <w:rsid w:val="0005576C"/>
    <w:rsid w:val="00056F56"/>
    <w:rsid w:val="00072B8B"/>
    <w:rsid w:val="00083F16"/>
    <w:rsid w:val="000A2298"/>
    <w:rsid w:val="000A28E1"/>
    <w:rsid w:val="000C1DD2"/>
    <w:rsid w:val="000C27AB"/>
    <w:rsid w:val="000D6C9F"/>
    <w:rsid w:val="000D72C9"/>
    <w:rsid w:val="000E0972"/>
    <w:rsid w:val="000E642B"/>
    <w:rsid w:val="000E68A5"/>
    <w:rsid w:val="000F02E4"/>
    <w:rsid w:val="000F169F"/>
    <w:rsid w:val="000F1CC9"/>
    <w:rsid w:val="000F52A6"/>
    <w:rsid w:val="000F61DE"/>
    <w:rsid w:val="00112D2E"/>
    <w:rsid w:val="001145EB"/>
    <w:rsid w:val="00116416"/>
    <w:rsid w:val="001164A0"/>
    <w:rsid w:val="00122CED"/>
    <w:rsid w:val="0012369A"/>
    <w:rsid w:val="00140BF3"/>
    <w:rsid w:val="00141C66"/>
    <w:rsid w:val="001432ED"/>
    <w:rsid w:val="001440AC"/>
    <w:rsid w:val="00144532"/>
    <w:rsid w:val="0014522F"/>
    <w:rsid w:val="0015340F"/>
    <w:rsid w:val="001566A5"/>
    <w:rsid w:val="0016403B"/>
    <w:rsid w:val="00164C33"/>
    <w:rsid w:val="00167297"/>
    <w:rsid w:val="00171432"/>
    <w:rsid w:val="00175C6B"/>
    <w:rsid w:val="00190378"/>
    <w:rsid w:val="00193861"/>
    <w:rsid w:val="001A4C32"/>
    <w:rsid w:val="001A793F"/>
    <w:rsid w:val="001B30B9"/>
    <w:rsid w:val="001B5DDA"/>
    <w:rsid w:val="001B75DF"/>
    <w:rsid w:val="001C061A"/>
    <w:rsid w:val="001C3DB3"/>
    <w:rsid w:val="001D3EB1"/>
    <w:rsid w:val="001D4748"/>
    <w:rsid w:val="001E428A"/>
    <w:rsid w:val="001F133A"/>
    <w:rsid w:val="001F43D0"/>
    <w:rsid w:val="001F494A"/>
    <w:rsid w:val="001F5C07"/>
    <w:rsid w:val="001F5EA7"/>
    <w:rsid w:val="001F759A"/>
    <w:rsid w:val="00201801"/>
    <w:rsid w:val="00201B42"/>
    <w:rsid w:val="002053F5"/>
    <w:rsid w:val="00206CD2"/>
    <w:rsid w:val="00215AE8"/>
    <w:rsid w:val="002206FA"/>
    <w:rsid w:val="00226A18"/>
    <w:rsid w:val="00227A8E"/>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6FAC"/>
    <w:rsid w:val="002D4892"/>
    <w:rsid w:val="002D73D3"/>
    <w:rsid w:val="002E0C2D"/>
    <w:rsid w:val="002E11D1"/>
    <w:rsid w:val="002E131E"/>
    <w:rsid w:val="002E514A"/>
    <w:rsid w:val="002F0E15"/>
    <w:rsid w:val="002F3CAA"/>
    <w:rsid w:val="002F7093"/>
    <w:rsid w:val="00301E08"/>
    <w:rsid w:val="0030381F"/>
    <w:rsid w:val="00307331"/>
    <w:rsid w:val="0030785F"/>
    <w:rsid w:val="00321184"/>
    <w:rsid w:val="00324A1F"/>
    <w:rsid w:val="00330D2A"/>
    <w:rsid w:val="00332CAF"/>
    <w:rsid w:val="0033312E"/>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4B2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401302"/>
    <w:rsid w:val="00401C7B"/>
    <w:rsid w:val="0040257F"/>
    <w:rsid w:val="00402CDC"/>
    <w:rsid w:val="00403270"/>
    <w:rsid w:val="004052AB"/>
    <w:rsid w:val="004059E7"/>
    <w:rsid w:val="00407C3A"/>
    <w:rsid w:val="00413127"/>
    <w:rsid w:val="004173C3"/>
    <w:rsid w:val="00425B6B"/>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26DC"/>
    <w:rsid w:val="00493BD1"/>
    <w:rsid w:val="004A0711"/>
    <w:rsid w:val="004A3AA8"/>
    <w:rsid w:val="004A4077"/>
    <w:rsid w:val="004A7755"/>
    <w:rsid w:val="004B16BA"/>
    <w:rsid w:val="004C3291"/>
    <w:rsid w:val="004C38E3"/>
    <w:rsid w:val="004C7F78"/>
    <w:rsid w:val="004D0042"/>
    <w:rsid w:val="004D2D99"/>
    <w:rsid w:val="004D3320"/>
    <w:rsid w:val="004E3F3C"/>
    <w:rsid w:val="004E573B"/>
    <w:rsid w:val="004E5752"/>
    <w:rsid w:val="004E75E5"/>
    <w:rsid w:val="004F5905"/>
    <w:rsid w:val="004F689F"/>
    <w:rsid w:val="00501F92"/>
    <w:rsid w:val="00502084"/>
    <w:rsid w:val="00505F28"/>
    <w:rsid w:val="00507C46"/>
    <w:rsid w:val="00527832"/>
    <w:rsid w:val="00534D5B"/>
    <w:rsid w:val="00534EB9"/>
    <w:rsid w:val="00535DA8"/>
    <w:rsid w:val="00545A6E"/>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0F1B"/>
    <w:rsid w:val="005B2076"/>
    <w:rsid w:val="005B21CE"/>
    <w:rsid w:val="005B753E"/>
    <w:rsid w:val="005C4CDC"/>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5BD9"/>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781F"/>
    <w:rsid w:val="007815F8"/>
    <w:rsid w:val="00781FD3"/>
    <w:rsid w:val="00783778"/>
    <w:rsid w:val="00787907"/>
    <w:rsid w:val="007A58B1"/>
    <w:rsid w:val="007A6A96"/>
    <w:rsid w:val="007B0D96"/>
    <w:rsid w:val="007B0F91"/>
    <w:rsid w:val="007B4004"/>
    <w:rsid w:val="007B5526"/>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166"/>
    <w:rsid w:val="009913E7"/>
    <w:rsid w:val="009916BD"/>
    <w:rsid w:val="00993BE8"/>
    <w:rsid w:val="00993F5E"/>
    <w:rsid w:val="00995CCC"/>
    <w:rsid w:val="00996695"/>
    <w:rsid w:val="00996843"/>
    <w:rsid w:val="009A1103"/>
    <w:rsid w:val="009B0560"/>
    <w:rsid w:val="009B2823"/>
    <w:rsid w:val="009B6CFF"/>
    <w:rsid w:val="009B7518"/>
    <w:rsid w:val="009C08DB"/>
    <w:rsid w:val="009C3B19"/>
    <w:rsid w:val="009E2935"/>
    <w:rsid w:val="009F09B2"/>
    <w:rsid w:val="009F12AD"/>
    <w:rsid w:val="009F406C"/>
    <w:rsid w:val="009F4AE4"/>
    <w:rsid w:val="009F74A1"/>
    <w:rsid w:val="00A06CA7"/>
    <w:rsid w:val="00A101E1"/>
    <w:rsid w:val="00A1256C"/>
    <w:rsid w:val="00A14BA8"/>
    <w:rsid w:val="00A158B0"/>
    <w:rsid w:val="00A207EB"/>
    <w:rsid w:val="00A20928"/>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9E"/>
    <w:rsid w:val="00AF7DE2"/>
    <w:rsid w:val="00B013F7"/>
    <w:rsid w:val="00B02D2B"/>
    <w:rsid w:val="00B06CEE"/>
    <w:rsid w:val="00B117F7"/>
    <w:rsid w:val="00B13BAD"/>
    <w:rsid w:val="00B13CAC"/>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793E"/>
    <w:rsid w:val="00B806D4"/>
    <w:rsid w:val="00B811EA"/>
    <w:rsid w:val="00B832BE"/>
    <w:rsid w:val="00B90790"/>
    <w:rsid w:val="00B945C5"/>
    <w:rsid w:val="00B95CFF"/>
    <w:rsid w:val="00BB024D"/>
    <w:rsid w:val="00BB0751"/>
    <w:rsid w:val="00BB15AE"/>
    <w:rsid w:val="00BC1170"/>
    <w:rsid w:val="00BC20BD"/>
    <w:rsid w:val="00BC273F"/>
    <w:rsid w:val="00BD07C2"/>
    <w:rsid w:val="00BD47B8"/>
    <w:rsid w:val="00BD6D2A"/>
    <w:rsid w:val="00BE1D0A"/>
    <w:rsid w:val="00BE3F04"/>
    <w:rsid w:val="00BE622C"/>
    <w:rsid w:val="00BE6BDD"/>
    <w:rsid w:val="00C006B4"/>
    <w:rsid w:val="00C00B58"/>
    <w:rsid w:val="00C03721"/>
    <w:rsid w:val="00C0508B"/>
    <w:rsid w:val="00C056BF"/>
    <w:rsid w:val="00C108F6"/>
    <w:rsid w:val="00C12D71"/>
    <w:rsid w:val="00C17C08"/>
    <w:rsid w:val="00C2153D"/>
    <w:rsid w:val="00C328C0"/>
    <w:rsid w:val="00C344E9"/>
    <w:rsid w:val="00C36A2C"/>
    <w:rsid w:val="00C526CF"/>
    <w:rsid w:val="00C6468B"/>
    <w:rsid w:val="00C65715"/>
    <w:rsid w:val="00C67239"/>
    <w:rsid w:val="00C72948"/>
    <w:rsid w:val="00C73495"/>
    <w:rsid w:val="00C80F55"/>
    <w:rsid w:val="00C8536C"/>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11656"/>
    <w:rsid w:val="00D2628E"/>
    <w:rsid w:val="00D373AB"/>
    <w:rsid w:val="00D375BE"/>
    <w:rsid w:val="00D431BD"/>
    <w:rsid w:val="00D44A2F"/>
    <w:rsid w:val="00D45B71"/>
    <w:rsid w:val="00D4635E"/>
    <w:rsid w:val="00D54888"/>
    <w:rsid w:val="00D5581A"/>
    <w:rsid w:val="00D56DD0"/>
    <w:rsid w:val="00D726A4"/>
    <w:rsid w:val="00D7569F"/>
    <w:rsid w:val="00D8234A"/>
    <w:rsid w:val="00D843B6"/>
    <w:rsid w:val="00D85CED"/>
    <w:rsid w:val="00D87BD8"/>
    <w:rsid w:val="00D94679"/>
    <w:rsid w:val="00D951E2"/>
    <w:rsid w:val="00DA0D08"/>
    <w:rsid w:val="00DA59F1"/>
    <w:rsid w:val="00DA5EF7"/>
    <w:rsid w:val="00DB2CFF"/>
    <w:rsid w:val="00DB525D"/>
    <w:rsid w:val="00DB5CEF"/>
    <w:rsid w:val="00DB6B30"/>
    <w:rsid w:val="00DC1E73"/>
    <w:rsid w:val="00DC30D9"/>
    <w:rsid w:val="00DC3396"/>
    <w:rsid w:val="00DC3BCE"/>
    <w:rsid w:val="00DC41D2"/>
    <w:rsid w:val="00DC4615"/>
    <w:rsid w:val="00DD3FD6"/>
    <w:rsid w:val="00DD4DD7"/>
    <w:rsid w:val="00DD536A"/>
    <w:rsid w:val="00DE2BAD"/>
    <w:rsid w:val="00DE5217"/>
    <w:rsid w:val="00DE6A0F"/>
    <w:rsid w:val="00DF4474"/>
    <w:rsid w:val="00DF4CCB"/>
    <w:rsid w:val="00DF59C7"/>
    <w:rsid w:val="00DF778F"/>
    <w:rsid w:val="00E008C9"/>
    <w:rsid w:val="00E017A0"/>
    <w:rsid w:val="00E11D09"/>
    <w:rsid w:val="00E1594F"/>
    <w:rsid w:val="00E270AC"/>
    <w:rsid w:val="00E30DFC"/>
    <w:rsid w:val="00E32E70"/>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0C2D"/>
    <w:rsid w:val="00EA3D42"/>
    <w:rsid w:val="00EB0DED"/>
    <w:rsid w:val="00EB10C2"/>
    <w:rsid w:val="00EB3212"/>
    <w:rsid w:val="00EC5399"/>
    <w:rsid w:val="00ED0C37"/>
    <w:rsid w:val="00ED54F8"/>
    <w:rsid w:val="00ED5DD2"/>
    <w:rsid w:val="00EE1DD1"/>
    <w:rsid w:val="00EE1EDA"/>
    <w:rsid w:val="00EE3A93"/>
    <w:rsid w:val="00EF5FE5"/>
    <w:rsid w:val="00F0137E"/>
    <w:rsid w:val="00F01413"/>
    <w:rsid w:val="00F03FB8"/>
    <w:rsid w:val="00F278B3"/>
    <w:rsid w:val="00F3019C"/>
    <w:rsid w:val="00F3409B"/>
    <w:rsid w:val="00F3571E"/>
    <w:rsid w:val="00F359DB"/>
    <w:rsid w:val="00F3607E"/>
    <w:rsid w:val="00F45A4A"/>
    <w:rsid w:val="00F54949"/>
    <w:rsid w:val="00F57E06"/>
    <w:rsid w:val="00F60217"/>
    <w:rsid w:val="00F60E88"/>
    <w:rsid w:val="00F65BFA"/>
    <w:rsid w:val="00F73224"/>
    <w:rsid w:val="00F749FD"/>
    <w:rsid w:val="00F80871"/>
    <w:rsid w:val="00F83395"/>
    <w:rsid w:val="00F8684D"/>
    <w:rsid w:val="00F87155"/>
    <w:rsid w:val="00F92B72"/>
    <w:rsid w:val="00F944D9"/>
    <w:rsid w:val="00FB04DD"/>
    <w:rsid w:val="00FB0DAF"/>
    <w:rsid w:val="00FB1A50"/>
    <w:rsid w:val="00FB3649"/>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6</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774</cp:revision>
  <cp:lastPrinted>2022-05-29T19:23:00Z</cp:lastPrinted>
  <dcterms:created xsi:type="dcterms:W3CDTF">2022-05-28T02:33:00Z</dcterms:created>
  <dcterms:modified xsi:type="dcterms:W3CDTF">2022-05-29T20:14:00Z</dcterms:modified>
</cp:coreProperties>
</file>