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 (open to hybrid + travel)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Investor-operator who evaluates businesses end to end — why the demand exists, how the model wins, and whether the numbers hold. Sourced and diligenced deals for a multi-billion-dollar foundation's VC arm, built three companies from 0 to 1, and ran fund operations and LP reporting. Deep financial modeling, relentless execution, and rare fluency with modern AI tooling.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commercial viability, and presented investment theses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principals to support diligence on two Core Fund I deals: bottom-up market sizing, competitive analysis, and financial-projection review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Identified key risks and growth levers in early-stage models and prepared briefs that informed partner decisions.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(Chief of Staff to CEO / Venture Operations Lead)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Led Venture 5 from a blank page to a funded company: discovery, expert interviews, product ideation, team hiring, first customer contracts, and seed fundraising.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financial models and competitive analyses across 500+ competitors; computed fund TVPI for fundraising.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fund operations from scratch — venture- and studio-level metrics, stakeholder reporting, and LP reporting.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Developed the Fund II narrative, pitch outline, and target-investor database; built the seed-VC networking initiative on a HubSpot CRM.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starTUp — University of Tulsa Venture Capital Club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club; placed members as analysts on the 46VC Hurricane Venture Fund (multi-million-dollar student/alumni fund).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University of Tulsa Student Investment Fund  —  $8M student-run fund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a decision-making process still in use today; made buy/sell calls on macro trends and led analysts.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Investment sourcing &amp; diligence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Business evaluation &amp; judgment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 modeling (three-statement, returns, fund / TVPI-DPI-IRR)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Market sizing &amp; competitive analysis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0-to-1 venture building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Modern AI tooling fluency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Relationship-driven, relentless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