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 (open to Denver hybrid + travel)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Investor-operator with a contrarian conviction that the next decade of returns is in hard tech — physical AI, robotics, space, and U.S. reindustrialization — not another AI SaaS app. Three years across the venture lifecycle: sourced and diligenced deals for a $100M+ foundation VC arm, built four companies from 0 to 1, and ran fund operations and LP reporting on an $8M fund. Deep financial-modeling and diligence judgment, plus rare fluency building production AI systems — multi-agent deal sourcing and an autonomous deal/ops stack.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 operations (built from scratch): </w:t>
      </w:r>
      <w:r>
        <w:rPr>
          <w:rFonts w:ascii="Calibri" w:hAnsi="Calibri"/>
          <w:b w:val="0"/>
          <w:i w:val="0"/>
          <w:sz w:val="21"/>
        </w:rPr>
        <w:t>For an $8M fund, defined the venture- and studio-level metrics that mattered, stood up portfolio tracking and LP reporting, and became the direct point of contact LPs come to for updates; led the annual LP meeting end to end.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0-to-1 venture lead: </w:t>
      </w:r>
      <w:r>
        <w:rPr>
          <w:rFonts w:ascii="Calibri" w:hAnsi="Calibri"/>
          <w:b w:val="0"/>
          <w:i w:val="0"/>
          <w:sz w:val="21"/>
        </w:rPr>
        <w:t>Took Agentech from a blank page to a funded company (~$25M valuation today) — thesis through pivot to AI-powered insurance-claims servicing; built the team and ran sales to the first $600K ARR. Now its part-time CFO and Chief of Staff.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Fundraising, owned end to end: </w:t>
      </w:r>
      <w:r>
        <w:rPr>
          <w:rFonts w:ascii="Calibri" w:hAnsi="Calibri"/>
          <w:b w:val="0"/>
          <w:i w:val="0"/>
          <w:sz w:val="21"/>
        </w:rPr>
        <w:t>Ran Agentech's $3M seed — investor memo, financial model, projections, and data room — and coordinated legal and accounting to a fast, fully-subscribed close. Ran the same process across multiple ventures (~$10M raised studio-wide).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Financial modeling &amp; analysis: </w:t>
      </w:r>
      <w:r>
        <w:rPr>
          <w:rFonts w:ascii="Calibri" w:hAnsi="Calibri"/>
          <w:b w:val="0"/>
          <w:i w:val="0"/>
          <w:sz w:val="21"/>
        </w:rPr>
        <w:t>Built three-statement and returns models and competitive analysis across 500+ companies; computed fund TVPI for fundraising.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Production AI systems: </w:t>
      </w:r>
      <w:r>
        <w:rPr>
          <w:rFonts w:ascii="Calibri" w:hAnsi="Calibri"/>
          <w:b w:val="0"/>
          <w:i w:val="0"/>
          <w:sz w:val="21"/>
        </w:rPr>
        <w:t>Built a multi-agent investor-sourcing engine with a continual-learning loop (ranked by geography, thesis, and stage; enriched via Clay) that produced a pipeline of hundreds of investors, plus staged-pipeline and term-sheet-evaluation tooling; and a Claude-based operations platform spanning CRM, call transcripts, email, calendar, and contracts that auto-drafts morning briefs, meeting agendas, and proposals.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($100M+ fund)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fellows; screened hundreds of companies.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commercial viability, and presented investment theses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principals to diligence two Core Fund I deals: bottom-up market sizing, competitive analysis, and financial-projection review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Judgment, validated: </w:t>
      </w:r>
      <w:r>
        <w:rPr>
          <w:rFonts w:ascii="Calibri" w:hAnsi="Calibri"/>
          <w:b w:val="0"/>
          <w:i w:val="0"/>
          <w:sz w:val="21"/>
        </w:rPr>
        <w:t>On all three deals I diligenced, I recommended against — on scalability, market size, and an unconvincing expansion story; all three are no longer operating.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DEEP-TECH THESIS &amp; SECTOR RESEARCH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Self-Directed Hard-Tech Investment Research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Conducted ~100 founder and operator interviews across energy, manufacturing, and industrials to build a hard-tech investment thesis and map emerging trends and opportunities.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Thesis: </w:t>
      </w:r>
      <w:r>
        <w:rPr>
          <w:rFonts w:ascii="Calibri" w:hAnsi="Calibri"/>
          <w:b w:val="0"/>
          <w:i w:val="0"/>
          <w:sz w:val="21"/>
        </w:rPr>
        <w:t>AI application software is increasingly un-investable — thin moats, incumbent and fast-follower risk, crowded winners; durable returns lie in physical AI, robotics, space, and U.S. reindustrialization — onshoring the capacity to spin up new physical products at speed and scale.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Fluent in SBIR/STTR non-dilutive funding processes; engaged with OCAST and Oklahoma Catalyst, which administer those programs.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EARLIER LEADERSHIP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 — starTUp (University of Tulsa VC Club)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placed members as analysts on the 46VC Hurricane Venture Fund, a multi-million-dollar student/alumni fund.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 — TU Student Investment Fund ($8M)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decision process still in use today; made buy/sell calls on macro trends and led analysts to execute.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Investment sourcing, screening &amp; diligence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Investment judgment &amp; business evaluation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 modeling (three-statement, returns, fund TVPI/DPI/IRR)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Market sizing &amp; competitive analysis; investment memos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Hard-tech / deep-tech sector thesis; SBIR/STTR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Building production AI systems (multi-agent, agentic workflows)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First-principles thinking; relentless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