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psoian3j3qq6" w:id="0"/>
      <w:bookmarkEnd w:id="0"/>
      <w:r w:rsidDel="00000000" w:rsidR="00000000" w:rsidRPr="00000000">
        <w:rPr>
          <w:b w:val="1"/>
          <w:bCs w:val="1"/>
          <w:sz w:val="34"/>
          <w:szCs w:val="34"/>
          <w:rtl w:val="0"/>
        </w:rPr>
        <w:t xml:space="preserve">Strategic Alignment and Performance Transformation at NexTech Solutions</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1kmhgzcblste" w:id="1"/>
      <w:bookmarkEnd w:id="1"/>
      <w:r w:rsidDel="00000000" w:rsidR="00000000" w:rsidRPr="00000000">
        <w:rPr>
          <w:b w:val="1"/>
          <w:bCs w:val="1"/>
          <w:color w:val="000000"/>
          <w:sz w:val="26"/>
          <w:szCs w:val="26"/>
          <w:rtl w:val="0"/>
        </w:rPr>
        <w:t xml:space="preserve">Introduction</w:t>
      </w:r>
    </w:p>
    <w:p w:rsidR="00000000" w:rsidDel="00000000" w:rsidP="00000000" w:rsidRDefault="00000000" w:rsidRPr="00000000" w14:paraId="00000003">
      <w:pPr>
        <w:spacing w:after="240" w:before="240" w:lineRule="auto"/>
        <w:rPr/>
      </w:pPr>
      <w:r w:rsidDel="00000000" w:rsidR="00000000" w:rsidRPr="00000000">
        <w:rPr>
          <w:rtl w:val="0"/>
        </w:rPr>
        <w:t xml:space="preserve">NexTech Solutions’ current performance plateau is fundamentally a crisis of translation rather than ambition. While the firm enjoyed years of steady growth, it has failed to convert its broad innovation vision into actionable strategic objectives. This lack of clarity has fostered a siloed culture focused on immediate financial returns at the expense of long-term value creation. To regain a trajectory of sustainable growth, NexTech must unify its organizational purpose and implement a balanced performance system that links innovation to customer value through a rigorous review of both leading and lagging metrics (Kaplan &amp; Norton, 1992).</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u0v986dgkedz" w:id="2"/>
      <w:bookmarkEnd w:id="2"/>
      <w:r w:rsidDel="00000000" w:rsidR="00000000" w:rsidRPr="00000000">
        <w:rPr>
          <w:b w:val="1"/>
          <w:bCs w:val="1"/>
          <w:color w:val="000000"/>
          <w:sz w:val="26"/>
          <w:szCs w:val="26"/>
          <w:rtl w:val="0"/>
        </w:rPr>
        <w:t xml:space="preserve">Strategic Vision Analysis</w:t>
      </w:r>
    </w:p>
    <w:p w:rsidR="00000000" w:rsidDel="00000000" w:rsidP="00000000" w:rsidRDefault="00000000" w:rsidRPr="00000000" w14:paraId="00000005">
      <w:pPr>
        <w:spacing w:after="240" w:before="240" w:lineRule="auto"/>
        <w:rPr/>
      </w:pPr>
      <w:r w:rsidDel="00000000" w:rsidR="00000000" w:rsidRPr="00000000">
        <w:rPr>
          <w:rtl w:val="0"/>
        </w:rPr>
        <w:t xml:space="preserve">The primary obstacle to execution is a vision that lacks strategic boundaries. Aspiration without specificity regarding market domain, target customers, and timelines cannot effectively guide resource allocation. This vagueness reinforces departmental silos, as disparate functions interpret "innovation" through the narrow lens of short-term revenue. To regain momentum, the firm must transition from generic ambition to an operational strategy. By defining its specific competitive domain and core differentiators, NexTech provides the prerequisite for a disciplined performance system that moves beyond lagging financial indicators toward holistic strategic alignment (Kaplan &amp; Norton, 1992).</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sylibqaf2wce" w:id="3"/>
      <w:bookmarkEnd w:id="3"/>
      <w:r w:rsidDel="00000000" w:rsidR="00000000" w:rsidRPr="00000000">
        <w:rPr>
          <w:b w:val="1"/>
          <w:bCs w:val="1"/>
          <w:color w:val="000000"/>
          <w:sz w:val="26"/>
          <w:szCs w:val="26"/>
          <w:rtl w:val="0"/>
        </w:rPr>
        <w:t xml:space="preserve">Strategic Purpose Analysis</w:t>
      </w:r>
    </w:p>
    <w:p w:rsidR="00000000" w:rsidDel="00000000" w:rsidP="00000000" w:rsidRDefault="00000000" w:rsidRPr="00000000" w14:paraId="00000007">
      <w:pPr>
        <w:spacing w:after="240" w:before="240" w:lineRule="auto"/>
        <w:rPr/>
      </w:pPr>
      <w:r w:rsidDel="00000000" w:rsidR="00000000" w:rsidRPr="00000000">
        <w:rPr>
          <w:rtl w:val="0"/>
        </w:rPr>
        <w:t xml:space="preserve">NexTech must redefine its mission as a commitment to specific customer outcomes, ensuring innovation serves a functional purpose rather than existing as a vague slogan. This clarity allows leadership to bridge the gap between intent and execution through four strategic imperatives: accelerating innovation throughput, deepening customer-linked product development, ensuring enterprise-grade reliability, and institutionalizing a repeatable innovation system. By aligning these objectives through a shared performance framework, NexTech can dismantle functional silos and synchronize its departments toward collective long-term value (Silva et al., 2023).</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piz8qpcr5boa" w:id="4"/>
      <w:bookmarkEnd w:id="4"/>
      <w:r w:rsidDel="00000000" w:rsidR="00000000" w:rsidRPr="00000000">
        <w:rPr>
          <w:b w:val="1"/>
          <w:bCs w:val="1"/>
          <w:color w:val="000000"/>
          <w:sz w:val="26"/>
          <w:szCs w:val="26"/>
          <w:rtl w:val="0"/>
        </w:rPr>
        <w:t xml:space="preserve">Measuring and Monitoring Performance</w:t>
      </w:r>
    </w:p>
    <w:p w:rsidR="00000000" w:rsidDel="00000000" w:rsidP="00000000" w:rsidRDefault="00000000" w:rsidRPr="00000000" w14:paraId="00000009">
      <w:pPr>
        <w:spacing w:after="240" w:before="240" w:lineRule="auto"/>
        <w:rPr/>
      </w:pPr>
      <w:r w:rsidDel="00000000" w:rsidR="00000000" w:rsidRPr="00000000">
        <w:rPr>
          <w:rtl w:val="0"/>
        </w:rPr>
        <w:t xml:space="preserve">NexTech’s reliance on revenue-centric reviews constitutes a lagging system that incentivizes short-termism. To rectify this, the firm must adopt a Balanced Scorecard that anchors financial outcomes in customer value, internal process efficiency, and organizational growth (Kaplan &amp; Norton, 1992).</w:t>
      </w:r>
    </w:p>
    <w:p w:rsidR="00000000" w:rsidDel="00000000" w:rsidP="00000000" w:rsidRDefault="00000000" w:rsidRPr="00000000" w14:paraId="0000000A">
      <w:pPr>
        <w:spacing w:after="240" w:before="240" w:lineRule="auto"/>
        <w:rPr/>
      </w:pPr>
      <w:r w:rsidDel="00000000" w:rsidR="00000000" w:rsidRPr="00000000">
        <w:rPr>
          <w:rtl w:val="0"/>
        </w:rPr>
        <w:t xml:space="preserve">By tracking a calibrated mix of indicators such as Net Revenue Retention (NRR), Time to Value, and Innovation Pipeline Health NexTech can ensure its R&amp;D investments yield verifiable commercial impact. This shift from ad-hoc monitoring to disciplined monthly and quarterly reviews allows for evidence-based resource reallocation. It prevents the common pitfall of measuring legacy outputs during periods of strategic transformation (Nieto-Rodriguez, 2026). Ultimately, pairing the Balanced Scorecard with an OKR framework synchronizes executive intent with team execution, dissolving silos through visible, shared outcomes (Silva et al., 2023).</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r7l98856o6mj" w:id="5"/>
      <w:bookmarkEnd w:id="5"/>
      <w:r w:rsidDel="00000000" w:rsidR="00000000" w:rsidRPr="00000000">
        <w:rPr>
          <w:b w:val="1"/>
          <w:bCs w:val="1"/>
          <w:color w:val="000000"/>
          <w:sz w:val="26"/>
          <w:szCs w:val="26"/>
          <w:rtl w:val="0"/>
        </w:rPr>
        <w:t xml:space="preserve">Conclusion</w:t>
      </w:r>
    </w:p>
    <w:p w:rsidR="00000000" w:rsidDel="00000000" w:rsidP="00000000" w:rsidRDefault="00000000" w:rsidRPr="00000000" w14:paraId="0000000C">
      <w:pPr>
        <w:spacing w:after="240" w:before="240" w:lineRule="auto"/>
        <w:rPr/>
      </w:pPr>
      <w:r w:rsidDel="00000000" w:rsidR="00000000" w:rsidRPr="00000000">
        <w:rPr>
          <w:rtl w:val="0"/>
        </w:rPr>
        <w:t xml:space="preserve">The gap between aspirational vision and operational execution is the root of NexTech’s stagnation. By sharpening its vision into a specific competitive intent, clarifying strategic objectives, and adopting a balanced measurement system, NexTech can rebuild organizational alignment. A disciplined monitoring cadence, supported by shared OKRs, will enable faster learning and more precise resource allocation. Strategic clarity and measurement discipline represent the essential bridge between organizational ambition and durable competitive advantage (Nieto-Rodriguez, 2026).</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vw1coonjcmv" w:id="6"/>
      <w:bookmarkEnd w:id="6"/>
      <w:r w:rsidDel="00000000" w:rsidR="00000000" w:rsidRPr="00000000">
        <w:rPr>
          <w:b w:val="1"/>
          <w:bCs w:val="1"/>
          <w:color w:val="000000"/>
          <w:sz w:val="26"/>
          <w:szCs w:val="26"/>
          <w:rtl w:val="0"/>
        </w:rPr>
        <w:t xml:space="preserve">References</w:t>
      </w:r>
    </w:p>
    <w:p w:rsidR="00000000" w:rsidDel="00000000" w:rsidP="00000000" w:rsidRDefault="00000000" w:rsidRPr="00000000" w14:paraId="0000000F">
      <w:pPr>
        <w:spacing w:after="240" w:before="240" w:lineRule="auto"/>
        <w:rPr/>
      </w:pPr>
      <w:r w:rsidDel="00000000" w:rsidR="00000000" w:rsidRPr="00000000">
        <w:rPr>
          <w:rtl w:val="0"/>
        </w:rPr>
        <w:t xml:space="preserve">Kaplan, R. S., &amp; Norton, D. P. (1992). The balanced scorecard: Measures that drive performance. </w:t>
      </w:r>
      <w:r w:rsidDel="00000000" w:rsidR="00000000" w:rsidRPr="00000000">
        <w:rPr>
          <w:i w:val="1"/>
          <w:iCs w:val="1"/>
          <w:rtl w:val="0"/>
        </w:rPr>
        <w:t xml:space="preserve">Harvard Business Review</w:t>
      </w:r>
      <w:r w:rsidDel="00000000" w:rsidR="00000000" w:rsidRPr="00000000">
        <w:rPr>
          <w:rtl w:val="0"/>
        </w:rPr>
        <w:t xml:space="preserve">, 70(1), 71–79. </w:t>
      </w:r>
    </w:p>
    <w:p w:rsidR="00000000" w:rsidDel="00000000" w:rsidP="00000000" w:rsidRDefault="00000000" w:rsidRPr="00000000" w14:paraId="00000010">
      <w:pPr>
        <w:spacing w:after="240" w:before="240" w:lineRule="auto"/>
        <w:rPr/>
      </w:pPr>
      <w:r w:rsidDel="00000000" w:rsidR="00000000" w:rsidRPr="00000000">
        <w:rPr>
          <w:rtl w:val="0"/>
        </w:rPr>
        <w:t xml:space="preserve">Nieto-Rodriguez, A. (2026, February 4). Are legacy metrics derailing your transformation? </w:t>
      </w:r>
      <w:r w:rsidDel="00000000" w:rsidR="00000000" w:rsidRPr="00000000">
        <w:rPr>
          <w:i w:val="1"/>
          <w:iCs w:val="1"/>
          <w:rtl w:val="0"/>
        </w:rPr>
        <w:t xml:space="preserve">Harvard Business Review</w:t>
      </w:r>
      <w:r w:rsidDel="00000000" w:rsidR="00000000" w:rsidRPr="00000000">
        <w:rPr>
          <w:rtl w:val="0"/>
        </w:rPr>
        <w:t xml:space="preserve">. </w:t>
      </w:r>
    </w:p>
    <w:p w:rsidR="00000000" w:rsidDel="00000000" w:rsidP="00000000" w:rsidRDefault="00000000" w:rsidRPr="00000000" w14:paraId="00000011">
      <w:pPr>
        <w:spacing w:after="240" w:before="240" w:lineRule="auto"/>
        <w:rPr/>
      </w:pPr>
      <w:r w:rsidDel="00000000" w:rsidR="00000000" w:rsidRPr="00000000">
        <w:rPr>
          <w:rtl w:val="0"/>
        </w:rPr>
        <w:t xml:space="preserve">Silva, R. V., et al. (2023). Surveying the academic literature on the use of OKR (Objectives and Key Results). </w:t>
      </w:r>
      <w:r w:rsidDel="00000000" w:rsidR="00000000" w:rsidRPr="00000000">
        <w:rPr>
          <w:i w:val="1"/>
          <w:iCs w:val="1"/>
          <w:rtl w:val="0"/>
        </w:rPr>
        <w:t xml:space="preserve">Proceedings of the ACM</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