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57FD" w14:textId="77777777" w:rsidR="00BC2E29" w:rsidRPr="00BC2E29" w:rsidRDefault="00BC2E29" w:rsidP="00BC2E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2E29">
        <w:rPr>
          <w:rFonts w:ascii="Times New Roman" w:eastAsia="Times New Roman" w:hAnsi="Times New Roman" w:cs="Times New Roman"/>
          <w:b/>
          <w:bCs/>
          <w:kern w:val="0"/>
          <w:sz w:val="36"/>
          <w:szCs w:val="36"/>
          <w14:ligatures w14:val="none"/>
        </w:rPr>
        <w:t>I. Apple Inc. (AAPL): The MacBook Neo and the Tariff Trap</w:t>
      </w:r>
    </w:p>
    <w:p w14:paraId="72185169" w14:textId="77777777" w:rsidR="00BC2E29" w:rsidRPr="00BC2E29"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r w:rsidRPr="00BC2E29">
        <w:rPr>
          <w:rFonts w:ascii="Times New Roman" w:eastAsia="Times New Roman" w:hAnsi="Times New Roman" w:cs="Times New Roman"/>
          <w:kern w:val="0"/>
          <w14:ligatures w14:val="none"/>
        </w:rPr>
        <w:t>The recent geopolitical landscape has presented a paradoxical challenge for Apple. On March 4, 2026, Apple announced the MacBook Neo, a revolutionary $599 entry-level laptop designed to capture the soft middle of the personal computer market. While this product launch should be a moment of pure growth, it has coincided with two destabilizing geopolitical events: the implementation of a 15% global baseline tariff and the military escalation in the Middle East following U.S.-Israeli strikes on Iran. This specific product, the MacBook Neo, uses the A18 Pro chip to provide high-end performance at a low cost, but its success depends entirely on global trade stability.</w:t>
      </w:r>
    </w:p>
    <w:p w14:paraId="29F81472" w14:textId="1D148685" w:rsidR="00BC2E29" w:rsidRPr="00BC2E29"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r w:rsidRPr="00BC2E29">
        <w:rPr>
          <w:rFonts w:ascii="Times New Roman" w:eastAsia="Times New Roman" w:hAnsi="Times New Roman" w:cs="Times New Roman"/>
          <w:kern w:val="0"/>
          <w14:ligatures w14:val="none"/>
        </w:rPr>
        <w:t xml:space="preserve">The rationale for why these events matter lies in Apple’s cost structure and logistics. The MacBook Neo is a volume play with thinner margins than the Pro line. Under the new 15% tariff regime, which replaced the previous targeted duties after a landmark Supreme Court ruling in February, Apple can no longer rely on production in India or Vietnam to bypass costs. A 15% surcharge on a $599 device is roughly $90 per unit. If Apple absorbs this cost, it wipes out the product's profitability. Conversely, if they pass it to the consumer, they lose the competitive edge that the Neo brand was built upon. Furthermore, the closure of the Strait of Hormuz has spiked </w:t>
      </w:r>
      <w:r w:rsidRPr="00BC2E29">
        <w:rPr>
          <w:rFonts w:ascii="Times New Roman" w:eastAsia="Times New Roman" w:hAnsi="Times New Roman" w:cs="Times New Roman"/>
          <w:kern w:val="0"/>
          <w14:ligatures w14:val="none"/>
        </w:rPr>
        <w:t>airfreight</w:t>
      </w:r>
      <w:r w:rsidRPr="00BC2E29">
        <w:rPr>
          <w:rFonts w:ascii="Times New Roman" w:eastAsia="Times New Roman" w:hAnsi="Times New Roman" w:cs="Times New Roman"/>
          <w:kern w:val="0"/>
          <w14:ligatures w14:val="none"/>
        </w:rPr>
        <w:t xml:space="preserve"> and shipping insurance costs, threatening the March 11 launch day availability for pre-order customers.</w:t>
      </w:r>
    </w:p>
    <w:p w14:paraId="6FA0761E" w14:textId="464C2612" w:rsidR="00194723"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r w:rsidRPr="00BC2E29">
        <w:rPr>
          <w:rFonts w:ascii="Times New Roman" w:eastAsia="Times New Roman" w:hAnsi="Times New Roman" w:cs="Times New Roman"/>
          <w:kern w:val="0"/>
          <w14:ligatures w14:val="none"/>
        </w:rPr>
        <w:t>To limit risk, a defensive strategy for Apple must focus on capital preservation and income generation. First, I would implement a covered call strategy at the $260 to $270 strike price to harvest premiums. These premiums can act as a synthetic dividend to offset potential price stagnation caused by margin compression. Second, I recommend a tactical trim of the position if pre-order lead times for the Neo slip past four weeks. This would indicate that geopolitical supply chain friction is turning a product success into a logistical nightmare. Finally, increasing exposure to Apple’s Services segment is a non-physical hedge. While hardware is stuck in the Strait of Hormuz, App Store and iCloud revenue flows digitally and remains unaffected by maritime blockades or physical tariffs. By shifting the focus to digital ecosystem revenue, the portfolio can withstand the physical disruptions of the hardware supply chain while waiting for trade tensions to stabilize.</w:t>
      </w:r>
    </w:p>
    <w:p w14:paraId="6DD6EE32" w14:textId="77777777" w:rsidR="00BC2E29" w:rsidRPr="00BC2E29" w:rsidRDefault="00BC2E29" w:rsidP="00BC2E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2E29">
        <w:rPr>
          <w:rFonts w:ascii="Times New Roman" w:eastAsia="Times New Roman" w:hAnsi="Times New Roman" w:cs="Times New Roman"/>
          <w:b/>
          <w:bCs/>
          <w:kern w:val="0"/>
          <w:sz w:val="36"/>
          <w:szCs w:val="36"/>
          <w14:ligatures w14:val="none"/>
        </w:rPr>
        <w:t>II. S&amp;P Global Inc. (SPGI): Credit Volatility and the Data Hedge</w:t>
      </w:r>
    </w:p>
    <w:p w14:paraId="697CD378" w14:textId="77777777" w:rsidR="00BC2E29" w:rsidRPr="00BC2E29"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r w:rsidRPr="00BC2E29">
        <w:rPr>
          <w:rFonts w:ascii="Times New Roman" w:eastAsia="Times New Roman" w:hAnsi="Times New Roman" w:cs="Times New Roman"/>
          <w:kern w:val="0"/>
          <w14:ligatures w14:val="none"/>
        </w:rPr>
        <w:t xml:space="preserve">S&amp;P Global is currently navigating a k-shaped geopolitical environment. While the company's stock fell 12% in February 2026 due to weak forward guidance, the March escalation in the Middle East has created a complex web of risks and opportunities. As a </w:t>
      </w:r>
      <w:proofErr w:type="gramStart"/>
      <w:r w:rsidRPr="00BC2E29">
        <w:rPr>
          <w:rFonts w:ascii="Times New Roman" w:eastAsia="Times New Roman" w:hAnsi="Times New Roman" w:cs="Times New Roman"/>
          <w:kern w:val="0"/>
          <w14:ligatures w14:val="none"/>
        </w:rPr>
        <w:t>toll-booth</w:t>
      </w:r>
      <w:proofErr w:type="gramEnd"/>
      <w:r w:rsidRPr="00BC2E29">
        <w:rPr>
          <w:rFonts w:ascii="Times New Roman" w:eastAsia="Times New Roman" w:hAnsi="Times New Roman" w:cs="Times New Roman"/>
          <w:kern w:val="0"/>
          <w14:ligatures w14:val="none"/>
        </w:rPr>
        <w:t xml:space="preserve"> for global capital, SPGI is highly sensitive to the sovereign credit landscape, which is currently being destabilized by military actions in Iran and the ongoing naval blockade in Venezuela. The financial market relies on S&amp;P for stability, yet the current geopolitical climate is characterized by extreme uncertainty and rapid shifts in credit quality across emerging markets.</w:t>
      </w:r>
    </w:p>
    <w:p w14:paraId="74C9A497" w14:textId="77777777" w:rsidR="00BC2E29" w:rsidRPr="00BC2E29"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r w:rsidRPr="00BC2E29">
        <w:rPr>
          <w:rFonts w:ascii="Times New Roman" w:eastAsia="Times New Roman" w:hAnsi="Times New Roman" w:cs="Times New Roman"/>
          <w:kern w:val="0"/>
          <w14:ligatures w14:val="none"/>
        </w:rPr>
        <w:lastRenderedPageBreak/>
        <w:t>The rationale for the impact on SPGI is twofold. On the negative side, geopolitical uncertainty acts as a freeze on corporate activity. When missiles are flying, companies delay bond issuances and IPOs, directly hurting S&amp;P’s Ratings division, which accounts for its highest profit margins. However, on the positive side, the Market Intelligence and Commodity Insights divisions become essential during a crisis. As Brent crude spikes toward $100 and the 15% global tariff creates a demand for trade-compliance data, S&amp;P’s analytical tools become indispensable for global firms trying to navigate the new normal. The Big Picture 2026 reports indicate that while bond issuance is soft, subscription-based data revenue remains a resilient 85% of their total business, providing a floor for the stock price.</w:t>
      </w:r>
    </w:p>
    <w:p w14:paraId="2E23E86C" w14:textId="78947322" w:rsidR="00BC2E29" w:rsidRPr="00BC2E29"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r w:rsidRPr="00BC2E29">
        <w:rPr>
          <w:rFonts w:ascii="Times New Roman" w:eastAsia="Times New Roman" w:hAnsi="Times New Roman" w:cs="Times New Roman"/>
          <w:kern w:val="0"/>
          <w14:ligatures w14:val="none"/>
        </w:rPr>
        <w:t xml:space="preserve">Defensively, the strategy here is to lean into the company’s quality status. Because the stock is currently trading below its 200-day moving average, a Dividend Reinvestment Plan (DRIP) is a primary defensive tool. This allows me to accumulate shares during this period of geopolitical-driven undervaluation. Additionally, I would watch the upcoming CERAWeek energy conference on March 23 as a catalyst. If S&amp;P demonstrates superior AI-driven tracking of the shadow tanker fleet or energy disruptions, it confirms their ability to monetize chaos. If the conflict widens, I </w:t>
      </w:r>
      <w:proofErr w:type="gramStart"/>
      <w:r w:rsidRPr="00BC2E29">
        <w:rPr>
          <w:rFonts w:ascii="Times New Roman" w:eastAsia="Times New Roman" w:hAnsi="Times New Roman" w:cs="Times New Roman"/>
          <w:kern w:val="0"/>
          <w14:ligatures w14:val="none"/>
        </w:rPr>
        <w:t>would</w:t>
      </w:r>
      <w:proofErr w:type="gramEnd"/>
      <w:r w:rsidRPr="00BC2E29">
        <w:rPr>
          <w:rFonts w:ascii="Times New Roman" w:eastAsia="Times New Roman" w:hAnsi="Times New Roman" w:cs="Times New Roman"/>
          <w:kern w:val="0"/>
          <w14:ligatures w14:val="none"/>
        </w:rPr>
        <w:t xml:space="preserve"> shift the weight of the portfolio slightly away from SPGI toward more direct war beneficiaries like defense contractors, while keeping SPGI as a long-term core holding for the inevitable post-war recovery in debt issuance. This approach ensures that the portfolio benefits from the essential nature of financial data while mitigating the temporary slump in credit rating activity.</w:t>
      </w:r>
    </w:p>
    <w:p w14:paraId="32984E87" w14:textId="77777777" w:rsidR="00BC2E29" w:rsidRPr="00BC2E29" w:rsidRDefault="00BC2E29" w:rsidP="00BC2E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2E29">
        <w:rPr>
          <w:rFonts w:ascii="Times New Roman" w:eastAsia="Times New Roman" w:hAnsi="Times New Roman" w:cs="Times New Roman"/>
          <w:b/>
          <w:bCs/>
          <w:kern w:val="0"/>
          <w:sz w:val="36"/>
          <w:szCs w:val="36"/>
          <w14:ligatures w14:val="none"/>
        </w:rPr>
        <w:t>III. Palantir Technologies (PLTR): The War Trade and Valuation Discipline</w:t>
      </w:r>
    </w:p>
    <w:p w14:paraId="18095BF9" w14:textId="77777777" w:rsidR="00BC2E29" w:rsidRPr="00BC2E29"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r w:rsidRPr="00BC2E29">
        <w:rPr>
          <w:rFonts w:ascii="Times New Roman" w:eastAsia="Times New Roman" w:hAnsi="Times New Roman" w:cs="Times New Roman"/>
          <w:kern w:val="0"/>
          <w14:ligatures w14:val="none"/>
        </w:rPr>
        <w:t>Palantir has emerged as the primary geopolitical hedge in my portfolio. Since the U.S.-Iran conflict escalated on March 2, 2026, Palantir’s stock has surged as part of a flight to safety into defense-related technology. Unlike Apple, which suffers from logistical disruptions, Palantir thrives on them. The company’s Gotham and AIP platforms are now actively being used by the U.S. Department of Defense to manage real-time battlefield intelligence and maritime tracking in the Persian Gulf. This role as a digital bedrock for modern kinetic warfare has transformed Palantir from a speculative tech stock into a critical national security asset.</w:t>
      </w:r>
    </w:p>
    <w:p w14:paraId="3A1A2B83" w14:textId="77777777" w:rsidR="00BC2E29" w:rsidRPr="00BC2E29"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r w:rsidRPr="00BC2E29">
        <w:rPr>
          <w:rFonts w:ascii="Times New Roman" w:eastAsia="Times New Roman" w:hAnsi="Times New Roman" w:cs="Times New Roman"/>
          <w:kern w:val="0"/>
          <w14:ligatures w14:val="none"/>
        </w:rPr>
        <w:t xml:space="preserve">The rationale for Palantir’s importance matters because it represents the software-defined warfare era. Recent contract wins, such as the $448 million </w:t>
      </w:r>
      <w:proofErr w:type="spellStart"/>
      <w:r w:rsidRPr="00BC2E29">
        <w:rPr>
          <w:rFonts w:ascii="Times New Roman" w:eastAsia="Times New Roman" w:hAnsi="Times New Roman" w:cs="Times New Roman"/>
          <w:kern w:val="0"/>
          <w14:ligatures w14:val="none"/>
        </w:rPr>
        <w:t>ShipOS</w:t>
      </w:r>
      <w:proofErr w:type="spellEnd"/>
      <w:r w:rsidRPr="00BC2E29">
        <w:rPr>
          <w:rFonts w:ascii="Times New Roman" w:eastAsia="Times New Roman" w:hAnsi="Times New Roman" w:cs="Times New Roman"/>
          <w:kern w:val="0"/>
          <w14:ligatures w14:val="none"/>
        </w:rPr>
        <w:t xml:space="preserve"> deal and the J85 engine support partnership with GE Aerospace, demonstrate that Palantir is no longer just a consultancy but a critical infrastructure provider. During this March escalation, the demand for AI-driven decision-making has moved from discretionary to urgent. However, the risk lies in its extreme valuation. With a price-to-earnings ratio exceeding 200 and a death cross (where the 50-day moving average crosses below the 200-day) appearing in February, the stock is technically fragile despite its fundamental relevance. Any sign of a de-escalation in the Middle East could lead to a rapid unwinding of the war trade.</w:t>
      </w:r>
    </w:p>
    <w:p w14:paraId="19040214" w14:textId="77777777" w:rsidR="00BC2E29" w:rsidRPr="00BC2E29"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r w:rsidRPr="00BC2E29">
        <w:rPr>
          <w:rFonts w:ascii="Times New Roman" w:eastAsia="Times New Roman" w:hAnsi="Times New Roman" w:cs="Times New Roman"/>
          <w:kern w:val="0"/>
          <w14:ligatures w14:val="none"/>
        </w:rPr>
        <w:lastRenderedPageBreak/>
        <w:t xml:space="preserve">To defend the portfolio against a Palantir reversal, I must employ strict valuation discipline. First, I will set a 10% trailing stop-loss. This allows me to capture the war trade upside if the conflict persists, while protecting me from a sharp sell-off if a sudden diplomatic ceasefire occurs. Second, I will use Palantir as a source of funds. If the stock spikes another 15% on conflict news, I will trim the position to rebalance into cheaper value stocks like S&amp;P Global. This </w:t>
      </w:r>
      <w:proofErr w:type="gramStart"/>
      <w:r w:rsidRPr="00BC2E29">
        <w:rPr>
          <w:rFonts w:ascii="Times New Roman" w:eastAsia="Times New Roman" w:hAnsi="Times New Roman" w:cs="Times New Roman"/>
          <w:kern w:val="0"/>
          <w14:ligatures w14:val="none"/>
        </w:rPr>
        <w:t>sell</w:t>
      </w:r>
      <w:proofErr w:type="gramEnd"/>
      <w:r w:rsidRPr="00BC2E29">
        <w:rPr>
          <w:rFonts w:ascii="Times New Roman" w:eastAsia="Times New Roman" w:hAnsi="Times New Roman" w:cs="Times New Roman"/>
          <w:kern w:val="0"/>
          <w14:ligatures w14:val="none"/>
        </w:rPr>
        <w:t xml:space="preserve"> high, buy low approach uses the geopolitical volatility of the Middle East to rebalance the portfolio's risk profile. This ensures that I am not overly exposed to a single high-beta growth stock when the war premium inevitably fades. By rotating gains from Palantir into more depressed assets, I can maintain a balanced portfolio that is prepared for both continued conflict and a return to peace.</w:t>
      </w:r>
    </w:p>
    <w:p w14:paraId="0324841F" w14:textId="77777777" w:rsidR="00BC2E29" w:rsidRPr="00BC2E29" w:rsidRDefault="00BC2E29" w:rsidP="00BC2E29">
      <w:pPr>
        <w:spacing w:before="100" w:beforeAutospacing="1" w:after="100" w:afterAutospacing="1" w:line="240" w:lineRule="auto"/>
        <w:rPr>
          <w:rFonts w:ascii="Times New Roman" w:eastAsia="Times New Roman" w:hAnsi="Times New Roman" w:cs="Times New Roman"/>
          <w:kern w:val="0"/>
          <w14:ligatures w14:val="none"/>
        </w:rPr>
      </w:pPr>
    </w:p>
    <w:sectPr w:rsidR="00BC2E29" w:rsidRPr="00BC2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29"/>
    <w:rsid w:val="00194723"/>
    <w:rsid w:val="005A49CF"/>
    <w:rsid w:val="0090406E"/>
    <w:rsid w:val="00AB3ABE"/>
    <w:rsid w:val="00BC2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3D47A"/>
  <w15:chartTrackingRefBased/>
  <w15:docId w15:val="{0DB706BA-0A1D-6840-980F-A1C175EB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E29"/>
    <w:rPr>
      <w:rFonts w:eastAsiaTheme="majorEastAsia" w:cstheme="majorBidi"/>
      <w:color w:val="272727" w:themeColor="text1" w:themeTint="D8"/>
    </w:rPr>
  </w:style>
  <w:style w:type="paragraph" w:styleId="Title">
    <w:name w:val="Title"/>
    <w:basedOn w:val="Normal"/>
    <w:next w:val="Normal"/>
    <w:link w:val="TitleChar"/>
    <w:uiPriority w:val="10"/>
    <w:qFormat/>
    <w:rsid w:val="00BC2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E29"/>
    <w:pPr>
      <w:spacing w:before="160"/>
      <w:jc w:val="center"/>
    </w:pPr>
    <w:rPr>
      <w:i/>
      <w:iCs/>
      <w:color w:val="404040" w:themeColor="text1" w:themeTint="BF"/>
    </w:rPr>
  </w:style>
  <w:style w:type="character" w:customStyle="1" w:styleId="QuoteChar">
    <w:name w:val="Quote Char"/>
    <w:basedOn w:val="DefaultParagraphFont"/>
    <w:link w:val="Quote"/>
    <w:uiPriority w:val="29"/>
    <w:rsid w:val="00BC2E29"/>
    <w:rPr>
      <w:i/>
      <w:iCs/>
      <w:color w:val="404040" w:themeColor="text1" w:themeTint="BF"/>
    </w:rPr>
  </w:style>
  <w:style w:type="paragraph" w:styleId="ListParagraph">
    <w:name w:val="List Paragraph"/>
    <w:basedOn w:val="Normal"/>
    <w:uiPriority w:val="34"/>
    <w:qFormat/>
    <w:rsid w:val="00BC2E29"/>
    <w:pPr>
      <w:ind w:left="720"/>
      <w:contextualSpacing/>
    </w:pPr>
  </w:style>
  <w:style w:type="character" w:styleId="IntenseEmphasis">
    <w:name w:val="Intense Emphasis"/>
    <w:basedOn w:val="DefaultParagraphFont"/>
    <w:uiPriority w:val="21"/>
    <w:qFormat/>
    <w:rsid w:val="00BC2E29"/>
    <w:rPr>
      <w:i/>
      <w:iCs/>
      <w:color w:val="0F4761" w:themeColor="accent1" w:themeShade="BF"/>
    </w:rPr>
  </w:style>
  <w:style w:type="paragraph" w:styleId="IntenseQuote">
    <w:name w:val="Intense Quote"/>
    <w:basedOn w:val="Normal"/>
    <w:next w:val="Normal"/>
    <w:link w:val="IntenseQuoteChar"/>
    <w:uiPriority w:val="30"/>
    <w:qFormat/>
    <w:rsid w:val="00BC2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E29"/>
    <w:rPr>
      <w:i/>
      <w:iCs/>
      <w:color w:val="0F4761" w:themeColor="accent1" w:themeShade="BF"/>
    </w:rPr>
  </w:style>
  <w:style w:type="character" w:styleId="IntenseReference">
    <w:name w:val="Intense Reference"/>
    <w:basedOn w:val="DefaultParagraphFont"/>
    <w:uiPriority w:val="32"/>
    <w:qFormat/>
    <w:rsid w:val="00BC2E29"/>
    <w:rPr>
      <w:b/>
      <w:bCs/>
      <w:smallCaps/>
      <w:color w:val="0F4761" w:themeColor="accent1" w:themeShade="BF"/>
      <w:spacing w:val="5"/>
    </w:rPr>
  </w:style>
  <w:style w:type="paragraph" w:styleId="NormalWeb">
    <w:name w:val="Normal (Web)"/>
    <w:basedOn w:val="Normal"/>
    <w:uiPriority w:val="99"/>
    <w:semiHidden/>
    <w:unhideWhenUsed/>
    <w:rsid w:val="00BC2E2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998</Words>
  <Characters>6351</Characters>
  <Application>Microsoft Office Word</Application>
  <DocSecurity>0</DocSecurity>
  <Lines>102</Lines>
  <Paragraphs>31</Paragraphs>
  <ScaleCrop>false</ScaleCrop>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El Harouchi</dc:creator>
  <cp:keywords/>
  <dc:description/>
  <cp:lastModifiedBy>Adam El Harouchi</cp:lastModifiedBy>
  <cp:revision>1</cp:revision>
  <dcterms:created xsi:type="dcterms:W3CDTF">2026-03-06T16:21:00Z</dcterms:created>
  <dcterms:modified xsi:type="dcterms:W3CDTF">2026-03-06T16:25:00Z</dcterms:modified>
</cp:coreProperties>
</file>