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47A20"/>
          <w:sz w:val="32"/>
        </w:rPr>
        <w:t>eDataPay / AmpliRail 2.0</w:t>
      </w:r>
    </w:p>
    <w:p>
      <w:pPr>
        <w:jc w:val="center"/>
      </w:pPr>
      <w:r>
        <w:rPr>
          <w:b/>
          <w:color w:val="173A63"/>
          <w:sz w:val="56"/>
        </w:rPr>
        <w:t>V3.7.1 DEVELOPMENT PACKAGE</w:t>
      </w:r>
    </w:p>
    <w:p>
      <w:pPr>
        <w:jc w:val="center"/>
      </w:pPr>
      <w:r>
        <w:rPr>
          <w:color w:val="505A64"/>
          <w:sz w:val="30"/>
        </w:rPr>
        <w:t>Sprint 0 + Sprint 0.5 • 4-Day Merchant Activation Engine</w:t>
      </w:r>
    </w:p>
    <w:p>
      <w:pPr>
        <w:jc w:val="center"/>
      </w:pPr>
      <w:r>
        <w:drawing>
          <wp:inline xmlns:a="http://schemas.openxmlformats.org/drawingml/2006/main" xmlns:pic="http://schemas.openxmlformats.org/drawingml/2006/picture">
            <wp:extent cx="6400800" cy="2218944"/>
            <wp:docPr id="1" name="Picture 1"/>
            <wp:cNvGraphicFramePr>
              <a:graphicFrameLocks noChangeAspect="1"/>
            </wp:cNvGraphicFramePr>
            <a:graphic>
              <a:graphicData uri="http://schemas.openxmlformats.org/drawingml/2006/picture">
                <pic:pic>
                  <pic:nvPicPr>
                    <pic:cNvPr id="0" name="fig_v371_activation_flow.png"/>
                    <pic:cNvPicPr/>
                  </pic:nvPicPr>
                  <pic:blipFill>
                    <a:blip r:embed="rId10"/>
                    <a:stretch>
                      <a:fillRect/>
                    </a:stretch>
                  </pic:blipFill>
                  <pic:spPr>
                    <a:xfrm>
                      <a:off x="0" y="0"/>
                      <a:ext cx="6400800" cy="2218944"/>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166"/>
            <w:shd w:fill="F3F5F7"/>
            <w:tcMar>
              <w:top w:w="140" w:type="dxa"/>
              <w:start w:w="180" w:type="dxa"/>
              <w:bottom w:w="140" w:type="dxa"/>
              <w:end w:w="180" w:type="dxa"/>
            </w:tcMar>
          </w:tcPr>
          <w:p>
            <w:r>
              <w:rPr>
                <w:b/>
                <w:color w:val="F47A20"/>
                <w:sz w:val="20"/>
              </w:rPr>
              <w:t xml:space="preserve">PURPOSE  </w:t>
            </w:r>
            <w:r>
              <w:rPr>
                <w:sz w:val="20"/>
              </w:rPr>
              <w:t>This is the developer handoff package. It turns the V3.7 architecture and the 4-Day Activation blueprint into executable PHP/Laravel work, with security gates, dependencies, tests, ownership and a controlled path to the first pilot merchant.</w:t>
            </w:r>
          </w:p>
        </w:tc>
      </w:tr>
    </w:tbl>
    <w:p/>
    <w:tbl>
      <w:tblPr>
        <w:tblW w:type="auto" w:w="0"/>
        <w:jc w:val="center"/>
        <w:tblLayout w:type="fixed"/>
        <w:tblLook w:firstColumn="1" w:firstRow="1" w:lastColumn="0" w:lastRow="0" w:noHBand="0" w:noVBand="1" w:val="04A0"/>
      </w:tblPr>
      <w:tblGrid>
        <w:gridCol w:w="5083"/>
        <w:gridCol w:w="5083"/>
      </w:tblGrid>
      <w:tr>
        <w:tc>
          <w:tcPr>
            <w:tcW w:type="dxa" w:w="3024"/>
            <w:vAlign w:val="center"/>
            <w:tcMar>
              <w:top w:w="100" w:type="dxa"/>
              <w:start w:w="120" w:type="dxa"/>
              <w:bottom w:w="100" w:type="dxa"/>
              <w:end w:w="120" w:type="dxa"/>
            </w:tcMar>
            <w:shd w:fill="173A63"/>
          </w:tcPr>
          <w:p>
            <w:pPr>
              <w:jc w:val="center"/>
            </w:pPr>
            <w:r/>
            <w:r>
              <w:rPr>
                <w:b/>
                <w:color w:val="FFFFFF"/>
                <w:sz w:val="17"/>
              </w:rPr>
              <w:t>Role</w:t>
            </w:r>
          </w:p>
        </w:tc>
        <w:tc>
          <w:tcPr>
            <w:tcW w:type="dxa" w:w="6912"/>
            <w:vAlign w:val="center"/>
            <w:tcMar>
              <w:top w:w="100" w:type="dxa"/>
              <w:start w:w="120" w:type="dxa"/>
              <w:bottom w:w="100" w:type="dxa"/>
              <w:end w:w="120" w:type="dxa"/>
            </w:tcMar>
            <w:shd w:fill="173A63"/>
          </w:tcPr>
          <w:p>
            <w:pPr>
              <w:jc w:val="center"/>
            </w:pPr>
            <w:r/>
            <w:r>
              <w:rPr>
                <w:b/>
                <w:color w:val="FFFFFF"/>
                <w:sz w:val="17"/>
              </w:rPr>
              <w:t>V3.7.1 responsibility</w:t>
            </w:r>
          </w:p>
        </w:tc>
      </w:tr>
      <w:tr>
        <w:tc>
          <w:tcPr>
            <w:tcW w:type="dxa" w:w="3024"/>
            <w:vAlign w:val="center"/>
            <w:tcMar>
              <w:top w:w="100" w:type="dxa"/>
              <w:start w:w="120" w:type="dxa"/>
              <w:bottom w:w="100" w:type="dxa"/>
              <w:end w:w="120" w:type="dxa"/>
            </w:tcMar>
          </w:tcPr>
          <w:p>
            <w:r/>
            <w:r>
              <w:rPr>
                <w:b w:val="0"/>
                <w:color w:val="1E293B"/>
                <w:sz w:val="17"/>
              </w:rPr>
              <w:t>Adam Elisha - Systems Administrator / Platform Owner</w:t>
            </w:r>
          </w:p>
        </w:tc>
        <w:tc>
          <w:tcPr>
            <w:tcW w:type="dxa" w:w="6912"/>
            <w:vAlign w:val="center"/>
            <w:tcMar>
              <w:top w:w="100" w:type="dxa"/>
              <w:start w:w="120" w:type="dxa"/>
              <w:bottom w:w="100" w:type="dxa"/>
              <w:end w:w="120" w:type="dxa"/>
            </w:tcMar>
          </w:tcPr>
          <w:p>
            <w:r/>
            <w:r>
              <w:rPr>
                <w:b w:val="0"/>
                <w:color w:val="1E293B"/>
                <w:sz w:val="17"/>
              </w:rPr>
              <w:t>AWS/server infrastructure, production access, secrets/platform controls, monitoring/backups, production deployment authorization and architecture/governance approval.</w:t>
            </w:r>
          </w:p>
        </w:tc>
      </w:tr>
      <w:tr>
        <w:tc>
          <w:tcPr>
            <w:tcW w:type="dxa" w:w="3024"/>
            <w:vAlign w:val="center"/>
            <w:tcMar>
              <w:top w:w="100" w:type="dxa"/>
              <w:start w:w="120" w:type="dxa"/>
              <w:bottom w:w="100" w:type="dxa"/>
              <w:end w:w="120" w:type="dxa"/>
            </w:tcMar>
          </w:tcPr>
          <w:p>
            <w:r/>
            <w:r>
              <w:rPr>
                <w:b w:val="0"/>
                <w:color w:val="1E293B"/>
                <w:sz w:val="17"/>
              </w:rPr>
              <w:t>Lead eDataPay PHP Developer</w:t>
            </w:r>
          </w:p>
        </w:tc>
        <w:tc>
          <w:tcPr>
            <w:tcW w:type="dxa" w:w="6912"/>
            <w:vAlign w:val="center"/>
            <w:tcMar>
              <w:top w:w="100" w:type="dxa"/>
              <w:start w:w="120" w:type="dxa"/>
              <w:bottom w:w="100" w:type="dxa"/>
              <w:end w:w="120" w:type="dxa"/>
            </w:tcMar>
          </w:tcPr>
          <w:p>
            <w:r/>
            <w:r>
              <w:rPr>
                <w:b w:val="0"/>
                <w:color w:val="1E293B"/>
                <w:sz w:val="17"/>
              </w:rPr>
              <w:t>Technical owner for Laravel architecture, code quality, connector contracts, review, staging readiness and ADR technical approval.</w:t>
            </w:r>
          </w:p>
        </w:tc>
      </w:tr>
      <w:tr>
        <w:tc>
          <w:tcPr>
            <w:tcW w:type="dxa" w:w="3024"/>
            <w:vAlign w:val="center"/>
            <w:tcMar>
              <w:top w:w="100" w:type="dxa"/>
              <w:start w:w="120" w:type="dxa"/>
              <w:bottom w:w="100" w:type="dxa"/>
              <w:end w:w="120" w:type="dxa"/>
            </w:tcMar>
          </w:tcPr>
          <w:p>
            <w:r/>
            <w:r>
              <w:rPr>
                <w:b w:val="0"/>
                <w:color w:val="1E293B"/>
                <w:sz w:val="17"/>
              </w:rPr>
              <w:t>eDataPay PHP Developer(s)</w:t>
            </w:r>
          </w:p>
        </w:tc>
        <w:tc>
          <w:tcPr>
            <w:tcW w:type="dxa" w:w="6912"/>
            <w:vAlign w:val="center"/>
            <w:tcMar>
              <w:top w:w="100" w:type="dxa"/>
              <w:start w:w="120" w:type="dxa"/>
              <w:bottom w:w="100" w:type="dxa"/>
              <w:end w:w="120" w:type="dxa"/>
            </w:tcMar>
          </w:tcPr>
          <w:p>
            <w:r/>
            <w:r>
              <w:rPr>
                <w:b w:val="0"/>
                <w:color w:val="1E293B"/>
                <w:sz w:val="17"/>
              </w:rPr>
              <w:t>Implement assigned tickets, automated tests and documentation through branches and pull requests. No direct production changes.</w:t>
            </w:r>
          </w:p>
        </w:tc>
      </w:tr>
      <w:tr>
        <w:tc>
          <w:tcPr>
            <w:tcW w:type="dxa" w:w="3024"/>
            <w:vAlign w:val="center"/>
            <w:tcMar>
              <w:top w:w="100" w:type="dxa"/>
              <w:start w:w="120" w:type="dxa"/>
              <w:bottom w:w="100" w:type="dxa"/>
              <w:end w:w="120" w:type="dxa"/>
            </w:tcMar>
          </w:tcPr>
          <w:p>
            <w:r/>
            <w:r>
              <w:rPr>
                <w:b w:val="0"/>
                <w:color w:val="1E293B"/>
                <w:sz w:val="17"/>
              </w:rPr>
              <w:t>AI coding agents</w:t>
            </w:r>
          </w:p>
        </w:tc>
        <w:tc>
          <w:tcPr>
            <w:tcW w:type="dxa" w:w="6912"/>
            <w:vAlign w:val="center"/>
            <w:tcMar>
              <w:top w:w="100" w:type="dxa"/>
              <w:start w:w="120" w:type="dxa"/>
              <w:bottom w:w="100" w:type="dxa"/>
              <w:end w:w="120" w:type="dxa"/>
            </w:tcMar>
          </w:tcPr>
          <w:p>
            <w:r/>
            <w:r>
              <w:rPr>
                <w:b w:val="0"/>
                <w:color w:val="1E293B"/>
                <w:sz w:val="17"/>
              </w:rPr>
              <w:t>Assist inside bounded tickets. No production activation, secret handling or independent merge authority.</w:t>
            </w:r>
          </w:p>
        </w:tc>
      </w:tr>
    </w:tbl>
    <w:p/>
    <w:p>
      <w:r>
        <w:br w:type="page"/>
      </w:r>
    </w:p>
    <w:p>
      <w:pPr>
        <w:pStyle w:val="Heading1"/>
      </w:pPr>
      <w:r>
        <w:t>1. Executive Direction</w:t>
      </w:r>
    </w:p>
    <w:p>
      <w:r>
        <w:t>V3.7.1 does not redesign AmpliRail. It aligns the activation workflow with the existing rail architecture and makes the work executable. PHP/Laravel remains the development standard for AmpliRail and RoboRiskAnalysis. Python/FastAPI is not a Phase 1 dependency.</w:t>
      </w:r>
    </w:p>
    <w:p>
      <w:pPr>
        <w:pStyle w:val="ListBullet"/>
      </w:pPr>
      <w:r>
        <w:t>AmpliRail remains the payment orchestration and operational control plane.</w:t>
      </w:r>
    </w:p>
    <w:p>
      <w:pPr>
        <w:pStyle w:val="ListBullet"/>
      </w:pPr>
      <w:r>
        <w:t>RoboRiskAnalysis remains a separate Laravel/PHP product, not a domain module inside AmpliRail.</w:t>
      </w:r>
    </w:p>
    <w:p>
      <w:pPr>
        <w:pStyle w:val="ListBullet"/>
      </w:pPr>
      <w:r>
        <w:t>The eDataPay CRM is the application origin and hands a canonical merchant package to AmpliRail.</w:t>
      </w:r>
    </w:p>
    <w:p>
      <w:pPr>
        <w:pStyle w:val="ListBullet"/>
      </w:pPr>
      <w:r>
        <w:t>Sandbox provisioning begins at submitted so integration can run in parallel with underwriting.</w:t>
      </w:r>
    </w:p>
    <w:p>
      <w:pPr>
        <w:pStyle w:val="ListBullet"/>
      </w:pPr>
      <w:r>
        <w:t>Production activation is always controlled, dual-approved and fail-closed.</w:t>
      </w:r>
    </w:p>
    <w:p>
      <w:pPr>
        <w:pStyle w:val="ListBullet"/>
      </w:pPr>
      <w:r>
        <w:t>Sprint 0 and Sprint 0.5 run in parallel to shorten the path to Milestone #1.</w:t>
      </w:r>
    </w:p>
    <w:p>
      <w:pPr>
        <w:jc w:val="center"/>
      </w:pPr>
      <w:r>
        <w:drawing>
          <wp:inline xmlns:a="http://schemas.openxmlformats.org/drawingml/2006/main" xmlns:pic="http://schemas.openxmlformats.org/drawingml/2006/picture">
            <wp:extent cx="6400800" cy="2218944"/>
            <wp:docPr id="2" name="Picture 2"/>
            <wp:cNvGraphicFramePr>
              <a:graphicFrameLocks noChangeAspect="1"/>
            </wp:cNvGraphicFramePr>
            <a:graphic>
              <a:graphicData uri="http://schemas.openxmlformats.org/drawingml/2006/picture">
                <pic:pic>
                  <pic:nvPicPr>
                    <pic:cNvPr id="0" name="fig_v371_system_boundary.png"/>
                    <pic:cNvPicPr/>
                  </pic:nvPicPr>
                  <pic:blipFill>
                    <a:blip r:embed="rId11"/>
                    <a:stretch>
                      <a:fillRect/>
                    </a:stretch>
                  </pic:blipFill>
                  <pic:spPr>
                    <a:xfrm>
                      <a:off x="0" y="0"/>
                      <a:ext cx="6400800" cy="2218944"/>
                    </a:xfrm>
                    <a:prstGeom prst="rect"/>
                  </pic:spPr>
                </pic:pic>
              </a:graphicData>
            </a:graphic>
          </wp:inline>
        </w:drawing>
      </w:r>
    </w:p>
    <w:p>
      <w:pPr>
        <w:pStyle w:val="Heading1"/>
      </w:pPr>
      <w:r>
        <w:t>2. What Changed from V3.7</w:t>
      </w:r>
    </w:p>
    <w:tbl>
      <w:tblPr>
        <w:tblW w:type="auto" w:w="0"/>
        <w:jc w:val="center"/>
        <w:tblLayout w:type="fixed"/>
        <w:tblLook w:firstColumn="1" w:firstRow="1" w:lastColumn="0" w:lastRow="0" w:noHBand="0" w:noVBand="1" w:val="04A0"/>
      </w:tblPr>
      <w:tblGrid>
        <w:gridCol w:w="5083"/>
        <w:gridCol w:w="5083"/>
      </w:tblGrid>
      <w:tr>
        <w:tc>
          <w:tcPr>
            <w:tcW w:type="dxa" w:w="2592"/>
            <w:vAlign w:val="center"/>
            <w:tcMar>
              <w:top w:w="100" w:type="dxa"/>
              <w:start w:w="120" w:type="dxa"/>
              <w:bottom w:w="100" w:type="dxa"/>
              <w:end w:w="120" w:type="dxa"/>
            </w:tcMar>
            <w:shd w:fill="173A63"/>
          </w:tcPr>
          <w:p>
            <w:pPr>
              <w:jc w:val="center"/>
            </w:pPr>
            <w:r/>
            <w:r>
              <w:rPr>
                <w:b/>
                <w:color w:val="FFFFFF"/>
                <w:sz w:val="17"/>
              </w:rPr>
              <w:t>Area</w:t>
            </w:r>
          </w:p>
        </w:tc>
        <w:tc>
          <w:tcPr>
            <w:tcW w:type="dxa" w:w="7344"/>
            <w:vAlign w:val="center"/>
            <w:tcMar>
              <w:top w:w="100" w:type="dxa"/>
              <w:start w:w="120" w:type="dxa"/>
              <w:bottom w:w="100" w:type="dxa"/>
              <w:end w:w="120" w:type="dxa"/>
            </w:tcMar>
            <w:shd w:fill="173A63"/>
          </w:tcPr>
          <w:p>
            <w:pPr>
              <w:jc w:val="center"/>
            </w:pPr>
            <w:r/>
            <w:r>
              <w:rPr>
                <w:b/>
                <w:color w:val="FFFFFF"/>
                <w:sz w:val="17"/>
              </w:rPr>
              <w:t>V3.7.1 decision</w:t>
            </w:r>
          </w:p>
        </w:tc>
      </w:tr>
      <w:tr>
        <w:tc>
          <w:tcPr>
            <w:tcW w:type="dxa" w:w="2592"/>
            <w:vAlign w:val="center"/>
            <w:tcMar>
              <w:top w:w="100" w:type="dxa"/>
              <w:start w:w="120" w:type="dxa"/>
              <w:bottom w:w="100" w:type="dxa"/>
              <w:end w:w="120" w:type="dxa"/>
            </w:tcMar>
          </w:tcPr>
          <w:p>
            <w:r/>
            <w:r>
              <w:rPr>
                <w:b w:val="0"/>
                <w:color w:val="1E293B"/>
                <w:sz w:val="17"/>
              </w:rPr>
              <w:t>RoboRisk</w:t>
            </w:r>
          </w:p>
        </w:tc>
        <w:tc>
          <w:tcPr>
            <w:tcW w:type="dxa" w:w="7344"/>
            <w:vAlign w:val="center"/>
            <w:tcMar>
              <w:top w:w="100" w:type="dxa"/>
              <w:start w:w="120" w:type="dxa"/>
              <w:bottom w:w="100" w:type="dxa"/>
              <w:end w:w="120" w:type="dxa"/>
            </w:tcMar>
          </w:tcPr>
          <w:p>
            <w:r/>
            <w:r>
              <w:rPr>
                <w:b w:val="0"/>
                <w:color w:val="1E293B"/>
                <w:sz w:val="17"/>
              </w:rPr>
              <w:t>Separate Laravel/PHP product; own repo/database/deployment; AmpliRail integrates through RiskDecision only.</w:t>
            </w:r>
          </w:p>
        </w:tc>
      </w:tr>
      <w:tr>
        <w:tc>
          <w:tcPr>
            <w:tcW w:type="dxa" w:w="2592"/>
            <w:vAlign w:val="center"/>
            <w:tcMar>
              <w:top w:w="100" w:type="dxa"/>
              <w:start w:w="120" w:type="dxa"/>
              <w:bottom w:w="100" w:type="dxa"/>
              <w:end w:w="120" w:type="dxa"/>
            </w:tcMar>
          </w:tcPr>
          <w:p>
            <w:r/>
            <w:r>
              <w:rPr>
                <w:b w:val="0"/>
                <w:color w:val="1E293B"/>
                <w:sz w:val="17"/>
              </w:rPr>
              <w:t>Sandbox timing</w:t>
            </w:r>
          </w:p>
        </w:tc>
        <w:tc>
          <w:tcPr>
            <w:tcW w:type="dxa" w:w="7344"/>
            <w:vAlign w:val="center"/>
            <w:tcMar>
              <w:top w:w="100" w:type="dxa"/>
              <w:start w:w="120" w:type="dxa"/>
              <w:bottom w:w="100" w:type="dxa"/>
              <w:end w:w="120" w:type="dxa"/>
            </w:tcMar>
          </w:tcPr>
          <w:p>
            <w:r/>
            <w:r>
              <w:rPr>
                <w:b w:val="0"/>
                <w:color w:val="1E293B"/>
                <w:sz w:val="17"/>
              </w:rPr>
              <w:t>Provision sandbox MerchantAccount, test MID, API keys and webhook secret at submitted.</w:t>
            </w:r>
          </w:p>
        </w:tc>
      </w:tr>
      <w:tr>
        <w:tc>
          <w:tcPr>
            <w:tcW w:type="dxa" w:w="2592"/>
            <w:vAlign w:val="center"/>
            <w:tcMar>
              <w:top w:w="100" w:type="dxa"/>
              <w:start w:w="120" w:type="dxa"/>
              <w:bottom w:w="100" w:type="dxa"/>
              <w:end w:w="120" w:type="dxa"/>
            </w:tcMar>
          </w:tcPr>
          <w:p>
            <w:r/>
            <w:r>
              <w:rPr>
                <w:b w:val="0"/>
                <w:color w:val="1E293B"/>
                <w:sz w:val="17"/>
              </w:rPr>
              <w:t>CRM machine authentication</w:t>
            </w:r>
          </w:p>
        </w:tc>
        <w:tc>
          <w:tcPr>
            <w:tcW w:type="dxa" w:w="7344"/>
            <w:vAlign w:val="center"/>
            <w:tcMar>
              <w:top w:w="100" w:type="dxa"/>
              <w:start w:w="120" w:type="dxa"/>
              <w:bottom w:w="100" w:type="dxa"/>
              <w:end w:w="120" w:type="dxa"/>
            </w:tcMar>
          </w:tcPr>
          <w:p>
            <w:r/>
            <w:r>
              <w:rPr>
                <w:b w:val="0"/>
                <w:color w:val="1E293B"/>
                <w:sz w:val="17"/>
              </w:rPr>
              <w:t>Use approved AmpliRail machine-auth. OAuth2 client credentials only where Identity already supports it.</w:t>
            </w:r>
          </w:p>
        </w:tc>
      </w:tr>
      <w:tr>
        <w:tc>
          <w:tcPr>
            <w:tcW w:type="dxa" w:w="2592"/>
            <w:vAlign w:val="center"/>
            <w:tcMar>
              <w:top w:w="100" w:type="dxa"/>
              <w:start w:w="120" w:type="dxa"/>
              <w:bottom w:w="100" w:type="dxa"/>
              <w:end w:w="120" w:type="dxa"/>
            </w:tcMar>
          </w:tcPr>
          <w:p>
            <w:r/>
            <w:r>
              <w:rPr>
                <w:b w:val="0"/>
                <w:color w:val="1E293B"/>
                <w:sz w:val="17"/>
              </w:rPr>
              <w:t>Go-live rollback</w:t>
            </w:r>
          </w:p>
        </w:tc>
        <w:tc>
          <w:tcPr>
            <w:tcW w:type="dxa" w:w="7344"/>
            <w:vAlign w:val="center"/>
            <w:tcMar>
              <w:top w:w="100" w:type="dxa"/>
              <w:start w:w="120" w:type="dxa"/>
              <w:bottom w:w="100" w:type="dxa"/>
              <w:end w:w="120" w:type="dxa"/>
            </w:tcMar>
          </w:tcPr>
          <w:p>
            <w:r/>
            <w:r>
              <w:rPr>
                <w:b w:val="0"/>
                <w:color w:val="1E293B"/>
                <w:sz w:val="17"/>
              </w:rPr>
              <w:t>Fail closed. Disabling/unavailability of go-live gate does not expose a manual bypass.</w:t>
            </w:r>
          </w:p>
        </w:tc>
      </w:tr>
      <w:tr>
        <w:tc>
          <w:tcPr>
            <w:tcW w:type="dxa" w:w="2592"/>
            <w:vAlign w:val="center"/>
            <w:tcMar>
              <w:top w:w="100" w:type="dxa"/>
              <w:start w:w="120" w:type="dxa"/>
              <w:bottom w:w="100" w:type="dxa"/>
              <w:end w:w="120" w:type="dxa"/>
            </w:tcMar>
          </w:tcPr>
          <w:p>
            <w:r/>
            <w:r>
              <w:rPr>
                <w:b w:val="0"/>
                <w:color w:val="1E293B"/>
                <w:sz w:val="17"/>
              </w:rPr>
              <w:t>Backlog</w:t>
            </w:r>
          </w:p>
        </w:tc>
        <w:tc>
          <w:tcPr>
            <w:tcW w:type="dxa" w:w="7344"/>
            <w:vAlign w:val="center"/>
            <w:tcMar>
              <w:top w:w="100" w:type="dxa"/>
              <w:start w:w="120" w:type="dxa"/>
              <w:bottom w:w="100" w:type="dxa"/>
              <w:end w:w="120" w:type="dxa"/>
            </w:tcMar>
          </w:tcPr>
          <w:p>
            <w:r/>
            <w:r>
              <w:rPr>
                <w:b w:val="0"/>
                <w:color w:val="1E293B"/>
                <w:sz w:val="17"/>
              </w:rPr>
              <w:t>AR-168 through AR-174 added as Sprint 0.5.</w:t>
            </w:r>
          </w:p>
        </w:tc>
      </w:tr>
      <w:tr>
        <w:tc>
          <w:tcPr>
            <w:tcW w:type="dxa" w:w="2592"/>
            <w:vAlign w:val="center"/>
            <w:tcMar>
              <w:top w:w="100" w:type="dxa"/>
              <w:start w:w="120" w:type="dxa"/>
              <w:bottom w:w="100" w:type="dxa"/>
              <w:end w:w="120" w:type="dxa"/>
            </w:tcMar>
          </w:tcPr>
          <w:p>
            <w:r/>
            <w:r>
              <w:rPr>
                <w:b w:val="0"/>
                <w:color w:val="1E293B"/>
                <w:sz w:val="17"/>
              </w:rPr>
              <w:t>Governance</w:t>
            </w:r>
          </w:p>
        </w:tc>
        <w:tc>
          <w:tcPr>
            <w:tcW w:type="dxa" w:w="7344"/>
            <w:vAlign w:val="center"/>
            <w:tcMar>
              <w:top w:w="100" w:type="dxa"/>
              <w:start w:w="120" w:type="dxa"/>
              <w:bottom w:w="100" w:type="dxa"/>
              <w:end w:w="120" w:type="dxa"/>
            </w:tcMar>
          </w:tcPr>
          <w:p>
            <w:r/>
            <w:r>
              <w:rPr>
                <w:b w:val="0"/>
                <w:color w:val="1E293B"/>
                <w:sz w:val="17"/>
              </w:rPr>
              <w:t>Lead eDataPay PHP Developer + Platform Owner approve ADR-0004 before code tickets depend on it.</w:t>
            </w:r>
          </w:p>
        </w:tc>
      </w:tr>
    </w:tbl>
    <w:p/>
    <w:p>
      <w:pPr>
        <w:pStyle w:val="Heading1"/>
      </w:pPr>
      <w:r>
        <w:t>3. Build Order and Parallel Work</w:t>
      </w:r>
    </w:p>
    <w:p>
      <w:pPr>
        <w:jc w:val="center"/>
      </w:pPr>
      <w:r>
        <w:drawing>
          <wp:inline xmlns:a="http://schemas.openxmlformats.org/drawingml/2006/main" xmlns:pic="http://schemas.openxmlformats.org/drawingml/2006/picture">
            <wp:extent cx="6400800" cy="2218944"/>
            <wp:docPr id="3" name="Picture 3"/>
            <wp:cNvGraphicFramePr>
              <a:graphicFrameLocks noChangeAspect="1"/>
            </wp:cNvGraphicFramePr>
            <a:graphic>
              <a:graphicData uri="http://schemas.openxmlformats.org/drawingml/2006/picture">
                <pic:pic>
                  <pic:nvPicPr>
                    <pic:cNvPr id="0" name="fig_v371_parallel_sprints.png"/>
                    <pic:cNvPicPr/>
                  </pic:nvPicPr>
                  <pic:blipFill>
                    <a:blip r:embed="rId12"/>
                    <a:stretch>
                      <a:fillRect/>
                    </a:stretch>
                  </pic:blipFill>
                  <pic:spPr>
                    <a:xfrm>
                      <a:off x="0" y="0"/>
                      <a:ext cx="6400800" cy="2218944"/>
                    </a:xfrm>
                    <a:prstGeom prst="rect"/>
                  </pic:spPr>
                </pic:pic>
              </a:graphicData>
            </a:graphic>
          </wp:inline>
        </w:drawing>
      </w:r>
    </w:p>
    <w:tbl>
      <w:tblPr>
        <w:tblW w:type="auto" w:w="0"/>
        <w:jc w:val="center"/>
        <w:tblLayout w:type="fixed"/>
        <w:tblLook w:firstColumn="1" w:firstRow="1" w:lastColumn="0" w:lastRow="0" w:noHBand="0" w:noVBand="1" w:val="04A0"/>
      </w:tblPr>
      <w:tblGrid>
        <w:gridCol w:w="9936"/>
      </w:tblGrid>
      <w:tr>
        <w:tc>
          <w:tcPr>
            <w:tcW w:type="dxa" w:w="10166"/>
            <w:shd w:fill="F3F5F7"/>
            <w:tcMar>
              <w:top w:w="140" w:type="dxa"/>
              <w:start w:w="180" w:type="dxa"/>
              <w:bottom w:w="140" w:type="dxa"/>
              <w:end w:w="180" w:type="dxa"/>
            </w:tcMar>
          </w:tcPr>
          <w:p>
            <w:r>
              <w:rPr>
                <w:b/>
                <w:color w:val="F47A20"/>
                <w:sz w:val="20"/>
              </w:rPr>
              <w:t xml:space="preserve">RUN ORDER  </w:t>
            </w:r>
            <w:r>
              <w:rPr>
                <w:sz w:val="20"/>
              </w:rPr>
              <w:t>AR-174 first -&gt; AR-168 -&gt; AR-171 -&gt; AR-169 and AR-170 in parallel -&gt; AR-172 -&gt; AR-173. Sprint 0 core-rail work continues in parallel. Do not wait for all Sprint 0.5 work to finish before progressing the simulator/core rail.</w:t>
            </w:r>
          </w:p>
        </w:tc>
      </w:tr>
    </w:tbl>
    <w:p/>
    <w:p>
      <w:pPr>
        <w:pStyle w:val="Heading1"/>
      </w:pPr>
      <w:r>
        <w:t>4. Four-Day Operational Target</w:t>
      </w:r>
    </w:p>
    <w:tbl>
      <w:tblPr>
        <w:tblW w:type="auto" w:w="0"/>
        <w:jc w:val="center"/>
        <w:tblLayout w:type="fixed"/>
        <w:tblLook w:firstColumn="1" w:firstRow="1" w:lastColumn="0" w:lastRow="0" w:noHBand="0" w:noVBand="1" w:val="04A0"/>
      </w:tblPr>
      <w:tblGrid>
        <w:gridCol w:w="3389"/>
        <w:gridCol w:w="3389"/>
        <w:gridCol w:w="3389"/>
      </w:tblGrid>
      <w:tr>
        <w:tc>
          <w:tcPr>
            <w:tcW w:type="dxa" w:w="1152"/>
            <w:vAlign w:val="center"/>
            <w:tcMar>
              <w:top w:w="100" w:type="dxa"/>
              <w:start w:w="120" w:type="dxa"/>
              <w:bottom w:w="100" w:type="dxa"/>
              <w:end w:w="120" w:type="dxa"/>
            </w:tcMar>
            <w:shd w:fill="173A63"/>
          </w:tcPr>
          <w:p>
            <w:pPr>
              <w:jc w:val="center"/>
            </w:pPr>
            <w:r/>
            <w:r>
              <w:rPr>
                <w:b/>
                <w:color w:val="FFFFFF"/>
                <w:sz w:val="17"/>
              </w:rPr>
              <w:t>Day</w:t>
            </w:r>
          </w:p>
        </w:tc>
        <w:tc>
          <w:tcPr>
            <w:tcW w:type="dxa" w:w="5760"/>
            <w:vAlign w:val="center"/>
            <w:tcMar>
              <w:top w:w="100" w:type="dxa"/>
              <w:start w:w="120" w:type="dxa"/>
              <w:bottom w:w="100" w:type="dxa"/>
              <w:end w:w="120" w:type="dxa"/>
            </w:tcMar>
            <w:shd w:fill="173A63"/>
          </w:tcPr>
          <w:p>
            <w:pPr>
              <w:jc w:val="center"/>
            </w:pPr>
            <w:r/>
            <w:r>
              <w:rPr>
                <w:b/>
                <w:color w:val="FFFFFF"/>
                <w:sz w:val="17"/>
              </w:rPr>
              <w:t>System objective</w:t>
            </w:r>
          </w:p>
        </w:tc>
        <w:tc>
          <w:tcPr>
            <w:tcW w:type="dxa" w:w="3024"/>
            <w:vAlign w:val="center"/>
            <w:tcMar>
              <w:top w:w="100" w:type="dxa"/>
              <w:start w:w="120" w:type="dxa"/>
              <w:bottom w:w="100" w:type="dxa"/>
              <w:end w:w="120" w:type="dxa"/>
            </w:tcMar>
            <w:shd w:fill="173A63"/>
          </w:tcPr>
          <w:p>
            <w:pPr>
              <w:jc w:val="center"/>
            </w:pPr>
            <w:r/>
            <w:r>
              <w:rPr>
                <w:b/>
                <w:color w:val="FFFFFF"/>
                <w:sz w:val="17"/>
              </w:rPr>
              <w:t>Human control</w:t>
            </w:r>
          </w:p>
        </w:tc>
      </w:tr>
      <w:tr>
        <w:tc>
          <w:tcPr>
            <w:tcW w:type="dxa" w:w="1152"/>
            <w:vAlign w:val="center"/>
            <w:tcMar>
              <w:top w:w="100" w:type="dxa"/>
              <w:start w:w="120" w:type="dxa"/>
              <w:bottom w:w="100" w:type="dxa"/>
              <w:end w:w="120" w:type="dxa"/>
            </w:tcMar>
          </w:tcPr>
          <w:p>
            <w:r/>
            <w:r>
              <w:rPr>
                <w:b w:val="0"/>
                <w:color w:val="1E293B"/>
                <w:sz w:val="17"/>
              </w:rPr>
              <w:t>Day 0</w:t>
            </w:r>
          </w:p>
        </w:tc>
        <w:tc>
          <w:tcPr>
            <w:tcW w:type="dxa" w:w="5760"/>
            <w:vAlign w:val="center"/>
            <w:tcMar>
              <w:top w:w="100" w:type="dxa"/>
              <w:start w:w="120" w:type="dxa"/>
              <w:bottom w:w="100" w:type="dxa"/>
              <w:end w:w="120" w:type="dxa"/>
            </w:tcMar>
          </w:tcPr>
          <w:p>
            <w:r/>
            <w:r>
              <w:rPr>
                <w:b w:val="0"/>
                <w:color w:val="1E293B"/>
                <w:sz w:val="17"/>
              </w:rPr>
              <w:t>CRM handoff; canonical merchant; sandbox/test credentials; document/risk cases opened.</w:t>
            </w:r>
          </w:p>
        </w:tc>
        <w:tc>
          <w:tcPr>
            <w:tcW w:type="dxa" w:w="3024"/>
            <w:vAlign w:val="center"/>
            <w:tcMar>
              <w:top w:w="100" w:type="dxa"/>
              <w:start w:w="120" w:type="dxa"/>
              <w:bottom w:w="100" w:type="dxa"/>
              <w:end w:w="120" w:type="dxa"/>
            </w:tcMar>
          </w:tcPr>
          <w:p>
            <w:r/>
            <w:r>
              <w:rPr>
                <w:b w:val="0"/>
                <w:color w:val="1E293B"/>
                <w:sz w:val="17"/>
              </w:rPr>
              <w:t>Resolve incomplete application data.</w:t>
            </w:r>
          </w:p>
        </w:tc>
      </w:tr>
      <w:tr>
        <w:tc>
          <w:tcPr>
            <w:tcW w:type="dxa" w:w="1152"/>
            <w:vAlign w:val="center"/>
            <w:tcMar>
              <w:top w:w="100" w:type="dxa"/>
              <w:start w:w="120" w:type="dxa"/>
              <w:bottom w:w="100" w:type="dxa"/>
              <w:end w:w="120" w:type="dxa"/>
            </w:tcMar>
          </w:tcPr>
          <w:p>
            <w:r/>
            <w:r>
              <w:rPr>
                <w:b w:val="0"/>
                <w:color w:val="1E293B"/>
                <w:sz w:val="17"/>
              </w:rPr>
              <w:t>Day 1</w:t>
            </w:r>
          </w:p>
        </w:tc>
        <w:tc>
          <w:tcPr>
            <w:tcW w:type="dxa" w:w="5760"/>
            <w:vAlign w:val="center"/>
            <w:tcMar>
              <w:top w:w="100" w:type="dxa"/>
              <w:start w:w="120" w:type="dxa"/>
              <w:bottom w:w="100" w:type="dxa"/>
              <w:end w:w="120" w:type="dxa"/>
            </w:tcMar>
          </w:tcPr>
          <w:p>
            <w:r/>
            <w:r>
              <w:rPr>
                <w:b w:val="0"/>
                <w:color w:val="1E293B"/>
                <w:sz w:val="17"/>
              </w:rPr>
              <w:t>KYB/KYC, document checklist, risk decision and processor eligibility.</w:t>
            </w:r>
          </w:p>
        </w:tc>
        <w:tc>
          <w:tcPr>
            <w:tcW w:type="dxa" w:w="3024"/>
            <w:vAlign w:val="center"/>
            <w:tcMar>
              <w:top w:w="100" w:type="dxa"/>
              <w:start w:w="120" w:type="dxa"/>
              <w:bottom w:w="100" w:type="dxa"/>
              <w:end w:w="120" w:type="dxa"/>
            </w:tcMar>
          </w:tcPr>
          <w:p>
            <w:r/>
            <w:r>
              <w:rPr>
                <w:b w:val="0"/>
                <w:color w:val="1E293B"/>
                <w:sz w:val="17"/>
              </w:rPr>
              <w:t>Risk/Operations decides exceptions.</w:t>
            </w:r>
          </w:p>
        </w:tc>
      </w:tr>
      <w:tr>
        <w:tc>
          <w:tcPr>
            <w:tcW w:type="dxa" w:w="1152"/>
            <w:vAlign w:val="center"/>
            <w:tcMar>
              <w:top w:w="100" w:type="dxa"/>
              <w:start w:w="120" w:type="dxa"/>
              <w:bottom w:w="100" w:type="dxa"/>
              <w:end w:w="120" w:type="dxa"/>
            </w:tcMar>
          </w:tcPr>
          <w:p>
            <w:r/>
            <w:r>
              <w:rPr>
                <w:b w:val="0"/>
                <w:color w:val="1E293B"/>
                <w:sz w:val="17"/>
              </w:rPr>
              <w:t>Day 2</w:t>
            </w:r>
          </w:p>
        </w:tc>
        <w:tc>
          <w:tcPr>
            <w:tcW w:type="dxa" w:w="5760"/>
            <w:vAlign w:val="center"/>
            <w:tcMar>
              <w:top w:w="100" w:type="dxa"/>
              <w:start w:w="120" w:type="dxa"/>
              <w:bottom w:w="100" w:type="dxa"/>
              <w:end w:w="120" w:type="dxa"/>
            </w:tcMar>
          </w:tcPr>
          <w:p>
            <w:r/>
            <w:r>
              <w:rPr>
                <w:b w:val="0"/>
                <w:color w:val="1E293B"/>
                <w:sz w:val="17"/>
              </w:rPr>
              <w:t>Build/submit processor package; status synchronization; more-info loop.</w:t>
            </w:r>
          </w:p>
        </w:tc>
        <w:tc>
          <w:tcPr>
            <w:tcW w:type="dxa" w:w="3024"/>
            <w:vAlign w:val="center"/>
            <w:tcMar>
              <w:top w:w="100" w:type="dxa"/>
              <w:start w:w="120" w:type="dxa"/>
              <w:bottom w:w="100" w:type="dxa"/>
              <w:end w:w="120" w:type="dxa"/>
            </w:tcMar>
          </w:tcPr>
          <w:p>
            <w:r/>
            <w:r>
              <w:rPr>
                <w:b w:val="0"/>
                <w:color w:val="1E293B"/>
                <w:sz w:val="17"/>
              </w:rPr>
              <w:t>Operations handles processor exceptions.</w:t>
            </w:r>
          </w:p>
        </w:tc>
      </w:tr>
      <w:tr>
        <w:tc>
          <w:tcPr>
            <w:tcW w:type="dxa" w:w="1152"/>
            <w:vAlign w:val="center"/>
            <w:tcMar>
              <w:top w:w="100" w:type="dxa"/>
              <w:start w:w="120" w:type="dxa"/>
              <w:bottom w:w="100" w:type="dxa"/>
              <w:end w:w="120" w:type="dxa"/>
            </w:tcMar>
          </w:tcPr>
          <w:p>
            <w:r/>
            <w:r>
              <w:rPr>
                <w:b w:val="0"/>
                <w:color w:val="1E293B"/>
                <w:sz w:val="17"/>
              </w:rPr>
              <w:t>Day 3</w:t>
            </w:r>
          </w:p>
        </w:tc>
        <w:tc>
          <w:tcPr>
            <w:tcW w:type="dxa" w:w="5760"/>
            <w:vAlign w:val="center"/>
            <w:tcMar>
              <w:top w:w="100" w:type="dxa"/>
              <w:start w:w="120" w:type="dxa"/>
              <w:bottom w:w="100" w:type="dxa"/>
              <w:end w:w="120" w:type="dxa"/>
            </w:tcMar>
          </w:tcPr>
          <w:p>
            <w:r/>
            <w:r>
              <w:rPr>
                <w:b w:val="0"/>
                <w:color w:val="1E293B"/>
                <w:sz w:val="17"/>
              </w:rPr>
              <w:t>MID/gateway/service provisioning and integration validation.</w:t>
            </w:r>
          </w:p>
        </w:tc>
        <w:tc>
          <w:tcPr>
            <w:tcW w:type="dxa" w:w="3024"/>
            <w:vAlign w:val="center"/>
            <w:tcMar>
              <w:top w:w="100" w:type="dxa"/>
              <w:start w:w="120" w:type="dxa"/>
              <w:bottom w:w="100" w:type="dxa"/>
              <w:end w:w="120" w:type="dxa"/>
            </w:tcMar>
          </w:tcPr>
          <w:p>
            <w:r/>
            <w:r>
              <w:rPr>
                <w:b w:val="0"/>
                <w:color w:val="1E293B"/>
                <w:sz w:val="17"/>
              </w:rPr>
              <w:t>Technical review for non-standard integrations.</w:t>
            </w:r>
          </w:p>
        </w:tc>
      </w:tr>
      <w:tr>
        <w:tc>
          <w:tcPr>
            <w:tcW w:type="dxa" w:w="1152"/>
            <w:vAlign w:val="center"/>
            <w:tcMar>
              <w:top w:w="100" w:type="dxa"/>
              <w:start w:w="120" w:type="dxa"/>
              <w:bottom w:w="100" w:type="dxa"/>
              <w:end w:w="120" w:type="dxa"/>
            </w:tcMar>
          </w:tcPr>
          <w:p>
            <w:r/>
            <w:r>
              <w:rPr>
                <w:b w:val="0"/>
                <w:color w:val="1E293B"/>
                <w:sz w:val="17"/>
              </w:rPr>
              <w:t>Day 4</w:t>
            </w:r>
          </w:p>
        </w:tc>
        <w:tc>
          <w:tcPr>
            <w:tcW w:type="dxa" w:w="5760"/>
            <w:vAlign w:val="center"/>
            <w:tcMar>
              <w:top w:w="100" w:type="dxa"/>
              <w:start w:w="120" w:type="dxa"/>
              <w:bottom w:w="100" w:type="dxa"/>
              <w:end w:w="120" w:type="dxa"/>
            </w:tcMar>
          </w:tcPr>
          <w:p>
            <w:r/>
            <w:r>
              <w:rPr>
                <w:b w:val="0"/>
                <w:color w:val="1E293B"/>
                <w:sz w:val="17"/>
              </w:rPr>
              <w:t>Test payment/refund/webhook/settlement checks; dual-control activation.</w:t>
            </w:r>
          </w:p>
        </w:tc>
        <w:tc>
          <w:tcPr>
            <w:tcW w:type="dxa" w:w="3024"/>
            <w:vAlign w:val="center"/>
            <w:tcMar>
              <w:top w:w="100" w:type="dxa"/>
              <w:start w:w="120" w:type="dxa"/>
              <w:bottom w:w="100" w:type="dxa"/>
              <w:end w:w="120" w:type="dxa"/>
            </w:tcMar>
          </w:tcPr>
          <w:p>
            <w:r/>
            <w:r>
              <w:rPr>
                <w:b w:val="0"/>
                <w:color w:val="1E293B"/>
                <w:sz w:val="17"/>
              </w:rPr>
              <w:t>Second authorized approver activates production.</w:t>
            </w:r>
          </w:p>
        </w:tc>
      </w:tr>
    </w:tbl>
    <w:p/>
    <w:p>
      <w:r>
        <w:br w:type="page"/>
      </w:r>
    </w:p>
    <w:p>
      <w:pPr>
        <w:pStyle w:val="Heading1"/>
      </w:pPr>
      <w:r>
        <w:t>5. Ticket Series AR-168 to AR-174</w:t>
      </w:r>
    </w:p>
    <w:p>
      <w:pPr>
        <w:pStyle w:val="Heading2"/>
      </w:pPr>
      <w:r>
        <w:t>AR-174 - ADR - RoboRisk boundary and sandbox state</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Architectural prerequisite</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Resolve the two V3.7 conflicts before code.</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Accepted ADR; RoboRisk separate Laravel product; sandbox at submitted.</w:t>
            </w:r>
          </w:p>
        </w:tc>
      </w:tr>
    </w:tbl>
    <w:p/>
    <w:p>
      <w:pPr>
        <w:pStyle w:val="Heading2"/>
      </w:pPr>
      <w:r>
        <w:t>AR-168 - CRM handoff API + Day 0 auto-provisioning</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Onboarding spine</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One idempotent CRM call creates the canonical merchant and sandbox resources.</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No duplicates by Idempotency-Key or crm_deal_id; tenant-safe; no raw bank/PAN data.</w:t>
            </w:r>
          </w:p>
        </w:tc>
      </w:tr>
    </w:tbl>
    <w:p/>
    <w:p>
      <w:pPr>
        <w:pStyle w:val="ListBullet"/>
      </w:pPr>
      <w:r>
        <w:t>Endpoint: POST /v1/merchants/handoff.</w:t>
      </w:r>
    </w:p>
    <w:p>
      <w:pPr>
        <w:pStyle w:val="ListBullet"/>
      </w:pPr>
      <w:r>
        <w:t>Preserve immutable crm_deal_id and agent attribution.</w:t>
      </w:r>
    </w:p>
    <w:p>
      <w:pPr>
        <w:pStyle w:val="ListBullet"/>
      </w:pPr>
      <w:r>
        <w:t>Provision sandbox MerchantAccount, test MID, arpub_sbx_/arsec_sbx_ keys and arwhk_sbx_ webhook secret at submitted.</w:t>
      </w:r>
    </w:p>
    <w:p>
      <w:pPr>
        <w:pStyle w:val="ListBullet"/>
      </w:pPr>
      <w:r>
        <w:t>Authenticate through approved machine-auth; do not create a new OAuth subsystem solely for this ticket.</w:t>
      </w:r>
    </w:p>
    <w:p>
      <w:pPr>
        <w:pStyle w:val="ListBullet"/>
      </w:pPr>
      <w:r>
        <w:t>No PAN/CVV/raw bank account numbers in payload; bank information is a token reference.</w:t>
      </w:r>
    </w:p>
    <w:p>
      <w:pPr>
        <w:pStyle w:val="Heading2"/>
      </w:pPr>
      <w:r>
        <w:t>AR-171 - Onboarding event catalog wiring</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Audit/state spine</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Wire lifecycle events to one strict state machine and transactional outbox.</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Illegal jumps blocked; events immutable and idempotent.</w:t>
            </w:r>
          </w:p>
        </w:tc>
      </w:tr>
    </w:tbl>
    <w:p/>
    <w:p>
      <w:pPr>
        <w:pStyle w:val="ListBullet"/>
      </w:pPr>
      <w:r>
        <w:t>application.created</w:t>
      </w:r>
    </w:p>
    <w:p>
      <w:pPr>
        <w:pStyle w:val="ListBullet"/>
      </w:pPr>
      <w:r>
        <w:t>merchant.sandbox_provisioned</w:t>
      </w:r>
    </w:p>
    <w:p>
      <w:pPr>
        <w:pStyle w:val="ListBullet"/>
      </w:pPr>
      <w:r>
        <w:t>documents.complete</w:t>
      </w:r>
    </w:p>
    <w:p>
      <w:pPr>
        <w:pStyle w:val="ListBullet"/>
      </w:pPr>
      <w:r>
        <w:t>kyb.passed</w:t>
      </w:r>
    </w:p>
    <w:p>
      <w:pPr>
        <w:pStyle w:val="ListBullet"/>
      </w:pPr>
      <w:r>
        <w:t>risk.approved</w:t>
      </w:r>
    </w:p>
    <w:p>
      <w:pPr>
        <w:pStyle w:val="ListBullet"/>
      </w:pPr>
      <w:r>
        <w:t>processor.submitted</w:t>
      </w:r>
    </w:p>
    <w:p>
      <w:pPr>
        <w:pStyle w:val="ListBullet"/>
      </w:pPr>
      <w:r>
        <w:t>processor.more_info_required</w:t>
      </w:r>
    </w:p>
    <w:p>
      <w:pPr>
        <w:pStyle w:val="ListBullet"/>
      </w:pPr>
      <w:r>
        <w:t>processor.approved</w:t>
      </w:r>
    </w:p>
    <w:p>
      <w:pPr>
        <w:pStyle w:val="ListBullet"/>
      </w:pPr>
      <w:r>
        <w:t>mid.created</w:t>
      </w:r>
    </w:p>
    <w:p>
      <w:pPr>
        <w:pStyle w:val="ListBullet"/>
      </w:pPr>
      <w:r>
        <w:t>credentials.created</w:t>
      </w:r>
    </w:p>
    <w:p>
      <w:pPr>
        <w:pStyle w:val="ListBullet"/>
      </w:pPr>
      <w:r>
        <w:t>test.completed</w:t>
      </w:r>
    </w:p>
    <w:p>
      <w:pPr>
        <w:pStyle w:val="ListBullet"/>
      </w:pPr>
      <w:r>
        <w:t>merchant.live</w:t>
      </w:r>
    </w:p>
    <w:p>
      <w:pPr>
        <w:pStyle w:val="Heading2"/>
      </w:pPr>
      <w:r>
        <w:t>AR-169 - Document checklist engine</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Evidence workflow</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Data-driven document requirements by merchant/processor profile.</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Encrypted private storage; completeness/reopen events; audited access.</w:t>
            </w:r>
          </w:p>
        </w:tc>
      </w:tr>
    </w:tbl>
    <w:p/>
    <w:p>
      <w:pPr>
        <w:pStyle w:val="ListBullet"/>
      </w:pPr>
      <w:r>
        <w:t>Store documents encrypted in private object storage; metadata in PostgreSQL.</w:t>
      </w:r>
    </w:p>
    <w:p>
      <w:pPr>
        <w:pStyle w:val="ListBullet"/>
      </w:pPr>
      <w:r>
        <w:t>Short-lived signed download URLs only.</w:t>
      </w:r>
    </w:p>
    <w:p>
      <w:pPr>
        <w:pStyle w:val="ListBullet"/>
      </w:pPr>
      <w:r>
        <w:t>Every view/download is permission checked and audited.</w:t>
      </w:r>
    </w:p>
    <w:p>
      <w:pPr>
        <w:pStyle w:val="ListBullet"/>
      </w:pPr>
      <w:r>
        <w:t>Processor more-info requests dynamically reopen the checklist.</w:t>
      </w:r>
    </w:p>
    <w:p>
      <w:pPr>
        <w:pStyle w:val="Heading2"/>
      </w:pPr>
      <w:r>
        <w:t>AR-170 - Processor eligibility engine</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Routing pre-filter</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Rank explainable eligible routes before submission work begins.</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Versioned/effective-dated rules; specific failing rules returned.</w:t>
            </w:r>
          </w:p>
        </w:tc>
      </w:tr>
    </w:tbl>
    <w:p/>
    <w:p>
      <w:pPr>
        <w:pStyle w:val="ListBullet"/>
      </w:pPr>
      <w:r>
        <w:t>Rules cover geography, MCC/restricted category, channel, recurring, volume, ticket size, chargeback profile, currency, reserve and document requirements.</w:t>
      </w:r>
    </w:p>
    <w:p>
      <w:pPr>
        <w:pStyle w:val="ListBullet"/>
      </w:pPr>
      <w:r>
        <w:t>Return ordered eligible routes and specific failed rules.</w:t>
      </w:r>
    </w:p>
    <w:p>
      <w:pPr>
        <w:pStyle w:val="ListBullet"/>
      </w:pPr>
      <w:r>
        <w:t>Rules are versioned and effective-dated; publishing uses Approvals.</w:t>
      </w:r>
    </w:p>
    <w:p>
      <w:pPr>
        <w:pStyle w:val="Heading2"/>
      </w:pPr>
      <w:r>
        <w:t>AR-172 - Go-live gate with dual control</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Production safety gate</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No test_mode -&gt; active transition until live checks and second-human approval pass.</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Fail-closed; no manual bypass when gate disabled/unavailable.</w:t>
            </w:r>
          </w:p>
        </w:tc>
      </w:tr>
    </w:tbl>
    <w:p/>
    <w:p>
      <w:pPr>
        <w:jc w:val="center"/>
      </w:pPr>
      <w:r>
        <w:drawing>
          <wp:inline xmlns:a="http://schemas.openxmlformats.org/drawingml/2006/main" xmlns:pic="http://schemas.openxmlformats.org/drawingml/2006/picture">
            <wp:extent cx="6400800" cy="2218944"/>
            <wp:docPr id="4" name="Picture 4"/>
            <wp:cNvGraphicFramePr>
              <a:graphicFrameLocks noChangeAspect="1"/>
            </wp:cNvGraphicFramePr>
            <a:graphic>
              <a:graphicData uri="http://schemas.openxmlformats.org/drawingml/2006/picture">
                <pic:pic>
                  <pic:nvPicPr>
                    <pic:cNvPr id="0" name="fig_v371_go_live.png"/>
                    <pic:cNvPicPr/>
                  </pic:nvPicPr>
                  <pic:blipFill>
                    <a:blip r:embed="rId13"/>
                    <a:stretch>
                      <a:fillRect/>
                    </a:stretch>
                  </pic:blipFill>
                  <pic:spPr>
                    <a:xfrm>
                      <a:off x="0" y="0"/>
                      <a:ext cx="6400800" cy="2218944"/>
                    </a:xfrm>
                    <a:prstGeom prst="rect"/>
                  </pic:spPr>
                </pic:pic>
              </a:graphicData>
            </a:graphic>
          </wp:inline>
        </w:drawing>
      </w:r>
    </w:p>
    <w:p>
      <w:pPr>
        <w:pStyle w:val="ListBullet"/>
      </w:pPr>
      <w:r>
        <w:t>Requester and approver must be different authorized humans.</w:t>
      </w:r>
    </w:p>
    <w:p>
      <w:pPr>
        <w:pStyle w:val="ListBullet"/>
      </w:pPr>
      <w:r>
        <w:t>Approver requires merchants.go_live.approve, step-up authentication and a note.</w:t>
      </w:r>
    </w:p>
    <w:p>
      <w:pPr>
        <w:pStyle w:val="ListBullet"/>
      </w:pPr>
      <w:r>
        <w:t>If any check cannot be evaluated, activation fails.</w:t>
      </w:r>
    </w:p>
    <w:p>
      <w:pPr>
        <w:pStyle w:val="ListBullet"/>
      </w:pPr>
      <w:r>
        <w:t>If feature flag/gate is unavailable, merchant remains in test_mode.</w:t>
      </w:r>
    </w:p>
    <w:p>
      <w:pPr>
        <w:pStyle w:val="ListBullet"/>
      </w:pPr>
      <w:r>
        <w:t>Emergency override requires Platform Owner + second authorized human + mandatory reason + immutable audit event.</w:t>
      </w:r>
    </w:p>
    <w:p>
      <w:pPr>
        <w:pStyle w:val="Heading2"/>
      </w:pPr>
      <w:r>
        <w:t>AR-173 - Activation SLA command center</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Field</w:t>
            </w:r>
          </w:p>
        </w:tc>
        <w:tc>
          <w:tcPr>
            <w:tcW w:type="dxa" w:w="7776"/>
            <w:vAlign w:val="center"/>
            <w:tcMar>
              <w:top w:w="100" w:type="dxa"/>
              <w:start w:w="120" w:type="dxa"/>
              <w:bottom w:w="100" w:type="dxa"/>
              <w:end w:w="120" w:type="dxa"/>
            </w:tcMar>
            <w:shd w:fill="173A63"/>
          </w:tcPr>
          <w:p>
            <w:pPr>
              <w:jc w:val="center"/>
            </w:pPr>
            <w:r/>
            <w:r>
              <w:rPr>
                <w:b/>
                <w:color w:val="FFFFFF"/>
                <w:sz w:val="17"/>
              </w:rPr>
              <w:t>Developer instruction</w:t>
            </w:r>
          </w:p>
        </w:tc>
      </w:tr>
      <w:tr>
        <w:tc>
          <w:tcPr>
            <w:tcW w:type="dxa" w:w="2160"/>
            <w:vAlign w:val="center"/>
            <w:tcMar>
              <w:top w:w="100" w:type="dxa"/>
              <w:start w:w="120" w:type="dxa"/>
              <w:bottom w:w="100" w:type="dxa"/>
              <w:end w:w="120" w:type="dxa"/>
            </w:tcMar>
          </w:tcPr>
          <w:p>
            <w:r/>
            <w:r>
              <w:rPr>
                <w:b w:val="0"/>
                <w:color w:val="1E293B"/>
                <w:sz w:val="17"/>
              </w:rPr>
              <w:t>Purpose</w:t>
            </w:r>
          </w:p>
        </w:tc>
        <w:tc>
          <w:tcPr>
            <w:tcW w:type="dxa" w:w="7776"/>
            <w:vAlign w:val="center"/>
            <w:tcMar>
              <w:top w:w="100" w:type="dxa"/>
              <w:start w:w="120" w:type="dxa"/>
              <w:bottom w:w="100" w:type="dxa"/>
              <w:end w:w="120" w:type="dxa"/>
            </w:tcMar>
          </w:tcPr>
          <w:p>
            <w:r/>
            <w:r>
              <w:rPr>
                <w:b w:val="0"/>
                <w:color w:val="1E293B"/>
                <w:sz w:val="17"/>
              </w:rPr>
              <w:t>Operations control</w:t>
            </w:r>
          </w:p>
        </w:tc>
      </w:tr>
      <w:tr>
        <w:tc>
          <w:tcPr>
            <w:tcW w:type="dxa" w:w="2160"/>
            <w:vAlign w:val="center"/>
            <w:tcMar>
              <w:top w:w="100" w:type="dxa"/>
              <w:start w:w="120" w:type="dxa"/>
              <w:bottom w:w="100" w:type="dxa"/>
              <w:end w:w="120" w:type="dxa"/>
            </w:tcMar>
          </w:tcPr>
          <w:p>
            <w:r/>
            <w:r>
              <w:rPr>
                <w:b w:val="0"/>
                <w:color w:val="1E293B"/>
                <w:sz w:val="17"/>
              </w:rPr>
              <w:t>Goal</w:t>
            </w:r>
          </w:p>
        </w:tc>
        <w:tc>
          <w:tcPr>
            <w:tcW w:type="dxa" w:w="7776"/>
            <w:vAlign w:val="center"/>
            <w:tcMar>
              <w:top w:w="100" w:type="dxa"/>
              <w:start w:w="120" w:type="dxa"/>
              <w:bottom w:w="100" w:type="dxa"/>
              <w:end w:w="120" w:type="dxa"/>
            </w:tcMar>
          </w:tcPr>
          <w:p>
            <w:r/>
            <w:r>
              <w:rPr>
                <w:b w:val="0"/>
                <w:color w:val="1E293B"/>
                <w:sz w:val="17"/>
              </w:rPr>
              <w:t>Show blocker, owner, next action, deadline, time-in-state and health.</w:t>
            </w:r>
          </w:p>
        </w:tc>
      </w:tr>
      <w:tr>
        <w:tc>
          <w:tcPr>
            <w:tcW w:type="dxa" w:w="2160"/>
            <w:vAlign w:val="center"/>
            <w:tcMar>
              <w:top w:w="100" w:type="dxa"/>
              <w:start w:w="120" w:type="dxa"/>
              <w:bottom w:w="100" w:type="dxa"/>
              <w:end w:w="120" w:type="dxa"/>
            </w:tcMar>
          </w:tcPr>
          <w:p>
            <w:r/>
            <w:r>
              <w:rPr>
                <w:b w:val="0"/>
                <w:color w:val="1E293B"/>
                <w:sz w:val="17"/>
              </w:rPr>
              <w:t>Acceptance focus</w:t>
            </w:r>
          </w:p>
        </w:tc>
        <w:tc>
          <w:tcPr>
            <w:tcW w:type="dxa" w:w="7776"/>
            <w:vAlign w:val="center"/>
            <w:tcMar>
              <w:top w:w="100" w:type="dxa"/>
              <w:start w:w="120" w:type="dxa"/>
              <w:bottom w:w="100" w:type="dxa"/>
              <w:end w:w="120" w:type="dxa"/>
            </w:tcMar>
          </w:tcPr>
          <w:p>
            <w:r/>
            <w:r>
              <w:rPr>
                <w:b w:val="0"/>
                <w:color w:val="1E293B"/>
                <w:sz w:val="17"/>
              </w:rPr>
              <w:t>Read-only dashboard; permission checked; figures match source data.</w:t>
            </w:r>
          </w:p>
        </w:tc>
      </w:tr>
    </w:tbl>
    <w:p/>
    <w:p>
      <w:pPr>
        <w:pStyle w:val="ListBullet"/>
      </w:pPr>
      <w:r>
        <w:t>Pipeline counts: New, KYB/KYC, Risk, Processor, Test, Live.</w:t>
      </w:r>
    </w:p>
    <w:p>
      <w:pPr>
        <w:pStyle w:val="ListBullet"/>
      </w:pPr>
      <w:r>
        <w:t>Per merchant: state, days in state, blocker, owner, next action, deadline.</w:t>
      </w:r>
    </w:p>
    <w:p>
      <w:pPr>
        <w:pStyle w:val="ListBullet"/>
      </w:pPr>
      <w:r>
        <w:t>Median/average time per state and total time-to-live for trailing 90 days.</w:t>
      </w:r>
    </w:p>
    <w:p>
      <w:pPr>
        <w:pStyle w:val="ListBullet"/>
      </w:pPr>
      <w:r>
        <w:t>Connector and webhook health visible; screen remains read-only.</w:t>
      </w:r>
    </w:p>
    <w:p>
      <w:r>
        <w:br w:type="page"/>
      </w:r>
    </w:p>
    <w:p>
      <w:pPr>
        <w:pStyle w:val="Heading1"/>
      </w:pPr>
      <w:r>
        <w:t>6. CRM Handoff Contract - Developer View</w:t>
      </w:r>
    </w:p>
    <w:p>
      <w:r>
        <w:t>The handoff endpoint is a service-to-service contract between the Fintech CRM and AmpliRail. The CRM remains a separate system; AmpliRail owns the canonical merchant and activation state after handoff.</w:t>
      </w:r>
    </w:p>
    <w:tbl>
      <w:tblPr>
        <w:tblW w:type="auto" w:w="0"/>
        <w:jc w:val="center"/>
        <w:tblLayout w:type="fixed"/>
        <w:tblLook w:firstColumn="1" w:firstRow="1" w:lastColumn="0" w:lastRow="0" w:noHBand="0" w:noVBand="1" w:val="04A0"/>
      </w:tblPr>
      <w:tblGrid>
        <w:gridCol w:w="5083"/>
        <w:gridCol w:w="5083"/>
      </w:tblGrid>
      <w:tr>
        <w:tc>
          <w:tcPr>
            <w:tcW w:type="dxa" w:w="2160"/>
            <w:vAlign w:val="center"/>
            <w:tcMar>
              <w:top w:w="100" w:type="dxa"/>
              <w:start w:w="120" w:type="dxa"/>
              <w:bottom w:w="100" w:type="dxa"/>
              <w:end w:w="120" w:type="dxa"/>
            </w:tcMar>
            <w:shd w:fill="173A63"/>
          </w:tcPr>
          <w:p>
            <w:pPr>
              <w:jc w:val="center"/>
            </w:pPr>
            <w:r/>
            <w:r>
              <w:rPr>
                <w:b/>
                <w:color w:val="FFFFFF"/>
                <w:sz w:val="17"/>
              </w:rPr>
              <w:t>Payload area</w:t>
            </w:r>
          </w:p>
        </w:tc>
        <w:tc>
          <w:tcPr>
            <w:tcW w:type="dxa" w:w="7776"/>
            <w:vAlign w:val="center"/>
            <w:tcMar>
              <w:top w:w="100" w:type="dxa"/>
              <w:start w:w="120" w:type="dxa"/>
              <w:bottom w:w="100" w:type="dxa"/>
              <w:end w:w="120" w:type="dxa"/>
            </w:tcMar>
            <w:shd w:fill="173A63"/>
          </w:tcPr>
          <w:p>
            <w:pPr>
              <w:jc w:val="center"/>
            </w:pPr>
            <w:r/>
            <w:r>
              <w:rPr>
                <w:b/>
                <w:color w:val="FFFFFF"/>
                <w:sz w:val="17"/>
              </w:rPr>
              <w:t>Required behavior</w:t>
            </w:r>
          </w:p>
        </w:tc>
      </w:tr>
      <w:tr>
        <w:tc>
          <w:tcPr>
            <w:tcW w:type="dxa" w:w="2160"/>
            <w:vAlign w:val="center"/>
            <w:tcMar>
              <w:top w:w="100" w:type="dxa"/>
              <w:start w:w="120" w:type="dxa"/>
              <w:bottom w:w="100" w:type="dxa"/>
              <w:end w:w="120" w:type="dxa"/>
            </w:tcMar>
          </w:tcPr>
          <w:p>
            <w:r/>
            <w:r>
              <w:rPr>
                <w:b w:val="0"/>
                <w:color w:val="1E293B"/>
                <w:sz w:val="17"/>
              </w:rPr>
              <w:t>Business</w:t>
            </w:r>
          </w:p>
        </w:tc>
        <w:tc>
          <w:tcPr>
            <w:tcW w:type="dxa" w:w="7776"/>
            <w:vAlign w:val="center"/>
            <w:tcMar>
              <w:top w:w="100" w:type="dxa"/>
              <w:start w:w="120" w:type="dxa"/>
              <w:bottom w:w="100" w:type="dxa"/>
              <w:end w:w="120" w:type="dxa"/>
            </w:tcMar>
          </w:tcPr>
          <w:p>
            <w:r/>
            <w:r>
              <w:rPr>
                <w:b w:val="0"/>
                <w:color w:val="1E293B"/>
                <w:sz w:val="17"/>
              </w:rPr>
              <w:t>Legal name, DBA, EIN/entity reference, address and contacts.</w:t>
            </w:r>
          </w:p>
        </w:tc>
      </w:tr>
      <w:tr>
        <w:tc>
          <w:tcPr>
            <w:tcW w:type="dxa" w:w="2160"/>
            <w:vAlign w:val="center"/>
            <w:tcMar>
              <w:top w:w="100" w:type="dxa"/>
              <w:start w:w="120" w:type="dxa"/>
              <w:bottom w:w="100" w:type="dxa"/>
              <w:end w:w="120" w:type="dxa"/>
            </w:tcMar>
          </w:tcPr>
          <w:p>
            <w:r/>
            <w:r>
              <w:rPr>
                <w:b w:val="0"/>
                <w:color w:val="1E293B"/>
                <w:sz w:val="17"/>
              </w:rPr>
              <w:t>Ownership</w:t>
            </w:r>
          </w:p>
        </w:tc>
        <w:tc>
          <w:tcPr>
            <w:tcW w:type="dxa" w:w="7776"/>
            <w:vAlign w:val="center"/>
            <w:tcMar>
              <w:top w:w="100" w:type="dxa"/>
              <w:start w:w="120" w:type="dxa"/>
              <w:bottom w:w="100" w:type="dxa"/>
              <w:end w:w="120" w:type="dxa"/>
            </w:tcMar>
          </w:tcPr>
          <w:p>
            <w:r/>
            <w:r>
              <w:rPr>
                <w:b w:val="0"/>
                <w:color w:val="1E293B"/>
                <w:sz w:val="17"/>
              </w:rPr>
              <w:t>Owners/UBOs and required identity references; sensitive values encrypted.</w:t>
            </w:r>
          </w:p>
        </w:tc>
      </w:tr>
      <w:tr>
        <w:tc>
          <w:tcPr>
            <w:tcW w:type="dxa" w:w="2160"/>
            <w:vAlign w:val="center"/>
            <w:tcMar>
              <w:top w:w="100" w:type="dxa"/>
              <w:start w:w="120" w:type="dxa"/>
              <w:bottom w:w="100" w:type="dxa"/>
              <w:end w:w="120" w:type="dxa"/>
            </w:tcMar>
          </w:tcPr>
          <w:p>
            <w:r/>
            <w:r>
              <w:rPr>
                <w:b w:val="0"/>
                <w:color w:val="1E293B"/>
                <w:sz w:val="17"/>
              </w:rPr>
              <w:t>Banking</w:t>
            </w:r>
          </w:p>
        </w:tc>
        <w:tc>
          <w:tcPr>
            <w:tcW w:type="dxa" w:w="7776"/>
            <w:vAlign w:val="center"/>
            <w:tcMar>
              <w:top w:w="100" w:type="dxa"/>
              <w:start w:w="120" w:type="dxa"/>
              <w:bottom w:w="100" w:type="dxa"/>
              <w:end w:w="120" w:type="dxa"/>
            </w:tcMar>
          </w:tcPr>
          <w:p>
            <w:r/>
            <w:r>
              <w:rPr>
                <w:b w:val="0"/>
                <w:color w:val="1E293B"/>
                <w:sz w:val="17"/>
              </w:rPr>
              <w:t>Settlement bank token/reference only; never raw account/routing values in this handoff.</w:t>
            </w:r>
          </w:p>
        </w:tc>
      </w:tr>
      <w:tr>
        <w:tc>
          <w:tcPr>
            <w:tcW w:type="dxa" w:w="2160"/>
            <w:vAlign w:val="center"/>
            <w:tcMar>
              <w:top w:w="100" w:type="dxa"/>
              <w:start w:w="120" w:type="dxa"/>
              <w:bottom w:w="100" w:type="dxa"/>
              <w:end w:w="120" w:type="dxa"/>
            </w:tcMar>
          </w:tcPr>
          <w:p>
            <w:r/>
            <w:r>
              <w:rPr>
                <w:b w:val="0"/>
                <w:color w:val="1E293B"/>
                <w:sz w:val="17"/>
              </w:rPr>
              <w:t>Commerce</w:t>
            </w:r>
          </w:p>
        </w:tc>
        <w:tc>
          <w:tcPr>
            <w:tcW w:type="dxa" w:w="7776"/>
            <w:vAlign w:val="center"/>
            <w:tcMar>
              <w:top w:w="100" w:type="dxa"/>
              <w:start w:w="120" w:type="dxa"/>
              <w:bottom w:w="100" w:type="dxa"/>
              <w:end w:w="120" w:type="dxa"/>
            </w:tcMar>
          </w:tcPr>
          <w:p>
            <w:r/>
            <w:r>
              <w:rPr>
                <w:b w:val="0"/>
                <w:color w:val="1E293B"/>
                <w:sz w:val="17"/>
              </w:rPr>
              <w:t>Website, products/services, requested MCC, channels, volume and ticket estimates.</w:t>
            </w:r>
          </w:p>
        </w:tc>
      </w:tr>
      <w:tr>
        <w:tc>
          <w:tcPr>
            <w:tcW w:type="dxa" w:w="2160"/>
            <w:vAlign w:val="center"/>
            <w:tcMar>
              <w:top w:w="100" w:type="dxa"/>
              <w:start w:w="120" w:type="dxa"/>
              <w:bottom w:w="100" w:type="dxa"/>
              <w:end w:w="120" w:type="dxa"/>
            </w:tcMar>
          </w:tcPr>
          <w:p>
            <w:r/>
            <w:r>
              <w:rPr>
                <w:b w:val="0"/>
                <w:color w:val="1E293B"/>
                <w:sz w:val="17"/>
              </w:rPr>
              <w:t>Evidence</w:t>
            </w:r>
          </w:p>
        </w:tc>
        <w:tc>
          <w:tcPr>
            <w:tcW w:type="dxa" w:w="7776"/>
            <w:vAlign w:val="center"/>
            <w:tcMar>
              <w:top w:w="100" w:type="dxa"/>
              <w:start w:w="120" w:type="dxa"/>
              <w:bottom w:w="100" w:type="dxa"/>
              <w:end w:w="120" w:type="dxa"/>
            </w:tcMar>
          </w:tcPr>
          <w:p>
            <w:r/>
            <w:r>
              <w:rPr>
                <w:b w:val="0"/>
                <w:color w:val="1E293B"/>
                <w:sz w:val="17"/>
              </w:rPr>
              <w:t>Document references and checklist metadata.</w:t>
            </w:r>
          </w:p>
        </w:tc>
      </w:tr>
      <w:tr>
        <w:tc>
          <w:tcPr>
            <w:tcW w:type="dxa" w:w="2160"/>
            <w:vAlign w:val="center"/>
            <w:tcMar>
              <w:top w:w="100" w:type="dxa"/>
              <w:start w:w="120" w:type="dxa"/>
              <w:bottom w:w="100" w:type="dxa"/>
              <w:end w:w="120" w:type="dxa"/>
            </w:tcMar>
          </w:tcPr>
          <w:p>
            <w:r/>
            <w:r>
              <w:rPr>
                <w:b w:val="0"/>
                <w:color w:val="1E293B"/>
                <w:sz w:val="17"/>
              </w:rPr>
              <w:t>Attribution</w:t>
            </w:r>
          </w:p>
        </w:tc>
        <w:tc>
          <w:tcPr>
            <w:tcW w:type="dxa" w:w="7776"/>
            <w:vAlign w:val="center"/>
            <w:tcMar>
              <w:top w:w="100" w:type="dxa"/>
              <w:start w:w="120" w:type="dxa"/>
              <w:bottom w:w="100" w:type="dxa"/>
              <w:end w:w="120" w:type="dxa"/>
            </w:tcMar>
          </w:tcPr>
          <w:p>
            <w:r/>
            <w:r>
              <w:rPr>
                <w:b w:val="0"/>
                <w:color w:val="1E293B"/>
                <w:sz w:val="17"/>
              </w:rPr>
              <w:t>crm_deal_id and agent attribution preserved immutably.</w:t>
            </w:r>
          </w:p>
        </w:tc>
      </w:tr>
      <w:tr>
        <w:tc>
          <w:tcPr>
            <w:tcW w:type="dxa" w:w="2160"/>
            <w:vAlign w:val="center"/>
            <w:tcMar>
              <w:top w:w="100" w:type="dxa"/>
              <w:start w:w="120" w:type="dxa"/>
              <w:bottom w:w="100" w:type="dxa"/>
              <w:end w:w="120" w:type="dxa"/>
            </w:tcMar>
          </w:tcPr>
          <w:p>
            <w:r/>
            <w:r>
              <w:rPr>
                <w:b w:val="0"/>
                <w:color w:val="1E293B"/>
                <w:sz w:val="17"/>
              </w:rPr>
              <w:t>Safety</w:t>
            </w:r>
          </w:p>
        </w:tc>
        <w:tc>
          <w:tcPr>
            <w:tcW w:type="dxa" w:w="7776"/>
            <w:vAlign w:val="center"/>
            <w:tcMar>
              <w:top w:w="100" w:type="dxa"/>
              <w:start w:w="120" w:type="dxa"/>
              <w:bottom w:w="100" w:type="dxa"/>
              <w:end w:w="120" w:type="dxa"/>
            </w:tcMar>
          </w:tcPr>
          <w:p>
            <w:r/>
            <w:r>
              <w:rPr>
                <w:b w:val="0"/>
                <w:color w:val="1E293B"/>
                <w:sz w:val="17"/>
              </w:rPr>
              <w:t>Idempotency-Key required; tenant context required; validation is all-or-nothing.</w:t>
            </w:r>
          </w:p>
        </w:tc>
      </w:tr>
    </w:tbl>
    <w:p/>
    <w:p>
      <w:pPr>
        <w:pStyle w:val="Heading1"/>
      </w:pPr>
      <w:r>
        <w:t>7. State Machine and Event Rules</w:t>
      </w:r>
    </w:p>
    <w:p>
      <w:r>
        <w:t>There must be one authoritative onboarding state machine. UI code, jobs and connectors may request transitions but may not bypass it. Every accepted transition writes its lifecycle event to the transactional outbox in the same database transaction.</w:t>
      </w:r>
    </w:p>
    <w:tbl>
      <w:tblPr>
        <w:tblW w:type="auto" w:w="0"/>
        <w:jc w:val="center"/>
        <w:tblLayout w:type="fixed"/>
        <w:tblLook w:firstColumn="1" w:firstRow="1" w:lastColumn="0" w:lastRow="0" w:noHBand="0" w:noVBand="1" w:val="04A0"/>
      </w:tblPr>
      <w:tblGrid>
        <w:gridCol w:w="9936"/>
      </w:tblGrid>
      <w:tr>
        <w:tc>
          <w:tcPr>
            <w:tcW w:type="dxa" w:w="10166"/>
            <w:shd w:fill="F3F5F7"/>
            <w:tcMar>
              <w:top w:w="140" w:type="dxa"/>
              <w:start w:w="180" w:type="dxa"/>
              <w:bottom w:w="140" w:type="dxa"/>
              <w:end w:w="180" w:type="dxa"/>
            </w:tcMar>
          </w:tcPr>
          <w:p>
            <w:r>
              <w:rPr>
                <w:b/>
                <w:color w:val="B42318"/>
                <w:sz w:val="20"/>
              </w:rPr>
              <w:t xml:space="preserve">NON-NEGOTIABLE  </w:t>
            </w:r>
            <w:r>
              <w:rPr>
                <w:sz w:val="20"/>
              </w:rPr>
              <w:t>A retry must never create a second merchant, MID, API key, event occurrence or processor submission. Idempotency is a business invariant, not just an HTTP convenience.</w:t>
            </w:r>
          </w:p>
        </w:tc>
      </w:tr>
    </w:tbl>
    <w:p/>
    <w:p>
      <w:pPr>
        <w:pStyle w:val="Heading1"/>
      </w:pPr>
      <w:r>
        <w:t>8. RoboRiskAnalysis Boundary</w:t>
      </w:r>
    </w:p>
    <w:p>
      <w:r>
        <w:t>RoboRiskAnalysis is still part of the eDataPay platform family, but V3.7.1 keeps its risk-domain implementation separate from AmpliRail. Both may use Laravel/PHP; separation is about product/security boundaries, not programming language.</w:t>
      </w:r>
    </w:p>
    <w:tbl>
      <w:tblPr>
        <w:tblW w:type="auto" w:w="0"/>
        <w:jc w:val="center"/>
        <w:tblLayout w:type="fixed"/>
        <w:tblLook w:firstColumn="1" w:firstRow="1" w:lastColumn="0" w:lastRow="0" w:noHBand="0" w:noVBand="1" w:val="04A0"/>
      </w:tblPr>
      <w:tblGrid>
        <w:gridCol w:w="5083"/>
        <w:gridCol w:w="5083"/>
      </w:tblGrid>
      <w:tr>
        <w:tc>
          <w:tcPr>
            <w:tcW w:type="dxa" w:w="4968"/>
            <w:vAlign w:val="center"/>
            <w:tcMar>
              <w:top w:w="100" w:type="dxa"/>
              <w:start w:w="120" w:type="dxa"/>
              <w:bottom w:w="100" w:type="dxa"/>
              <w:end w:w="120" w:type="dxa"/>
            </w:tcMar>
            <w:shd w:fill="173A63"/>
          </w:tcPr>
          <w:p>
            <w:pPr>
              <w:jc w:val="center"/>
            </w:pPr>
            <w:r/>
            <w:r>
              <w:rPr>
                <w:b/>
                <w:color w:val="FFFFFF"/>
                <w:sz w:val="17"/>
              </w:rPr>
              <w:t>AmpliRail may contain</w:t>
            </w:r>
          </w:p>
        </w:tc>
        <w:tc>
          <w:tcPr>
            <w:tcW w:type="dxa" w:w="4968"/>
            <w:vAlign w:val="center"/>
            <w:tcMar>
              <w:top w:w="100" w:type="dxa"/>
              <w:start w:w="120" w:type="dxa"/>
              <w:bottom w:w="100" w:type="dxa"/>
              <w:end w:w="120" w:type="dxa"/>
            </w:tcMar>
            <w:shd w:fill="173A63"/>
          </w:tcPr>
          <w:p>
            <w:pPr>
              <w:jc w:val="center"/>
            </w:pPr>
            <w:r/>
            <w:r>
              <w:rPr>
                <w:b/>
                <w:color w:val="FFFFFF"/>
                <w:sz w:val="17"/>
              </w:rPr>
              <w:t>AmpliRail must not contain</w:t>
            </w:r>
          </w:p>
        </w:tc>
      </w:tr>
      <w:tr>
        <w:tc>
          <w:tcPr>
            <w:tcW w:type="dxa" w:w="4968"/>
            <w:vAlign w:val="center"/>
            <w:tcMar>
              <w:top w:w="100" w:type="dxa"/>
              <w:start w:w="120" w:type="dxa"/>
              <w:bottom w:w="100" w:type="dxa"/>
              <w:end w:w="120" w:type="dxa"/>
            </w:tcMar>
          </w:tcPr>
          <w:p>
            <w:r/>
            <w:r>
              <w:rPr>
                <w:b w:val="0"/>
                <w:color w:val="1E293B"/>
                <w:sz w:val="17"/>
              </w:rPr>
              <w:t>RiskDecision connector interface/adapter</w:t>
            </w:r>
          </w:p>
        </w:tc>
        <w:tc>
          <w:tcPr>
            <w:tcW w:type="dxa" w:w="4968"/>
            <w:vAlign w:val="center"/>
            <w:tcMar>
              <w:top w:w="100" w:type="dxa"/>
              <w:start w:w="120" w:type="dxa"/>
              <w:bottom w:w="100" w:type="dxa"/>
              <w:end w:w="120" w:type="dxa"/>
            </w:tcMar>
          </w:tcPr>
          <w:p>
            <w:r/>
            <w:r>
              <w:rPr>
                <w:b w:val="0"/>
                <w:color w:val="1E293B"/>
                <w:sz w:val="17"/>
              </w:rPr>
              <w:t>RoboRisk scoring domain logic</w:t>
            </w:r>
          </w:p>
        </w:tc>
      </w:tr>
      <w:tr>
        <w:tc>
          <w:tcPr>
            <w:tcW w:type="dxa" w:w="4968"/>
            <w:vAlign w:val="center"/>
            <w:tcMar>
              <w:top w:w="100" w:type="dxa"/>
              <w:start w:w="120" w:type="dxa"/>
              <w:bottom w:w="100" w:type="dxa"/>
              <w:end w:w="120" w:type="dxa"/>
            </w:tcMar>
          </w:tcPr>
          <w:p>
            <w:r/>
            <w:r>
              <w:rPr>
                <w:b w:val="0"/>
                <w:color w:val="1E293B"/>
                <w:sz w:val="17"/>
              </w:rPr>
              <w:t>Risk DTOs and contract tests</w:t>
            </w:r>
          </w:p>
        </w:tc>
        <w:tc>
          <w:tcPr>
            <w:tcW w:type="dxa" w:w="4968"/>
            <w:vAlign w:val="center"/>
            <w:tcMar>
              <w:top w:w="100" w:type="dxa"/>
              <w:start w:w="120" w:type="dxa"/>
              <w:bottom w:w="100" w:type="dxa"/>
              <w:end w:w="120" w:type="dxa"/>
            </w:tcMar>
          </w:tcPr>
          <w:p>
            <w:r/>
            <w:r>
              <w:rPr>
                <w:b w:val="0"/>
                <w:color w:val="1E293B"/>
                <w:sz w:val="17"/>
              </w:rPr>
              <w:t>RoboRisk private database tables</w:t>
            </w:r>
          </w:p>
        </w:tc>
      </w:tr>
      <w:tr>
        <w:tc>
          <w:tcPr>
            <w:tcW w:type="dxa" w:w="4968"/>
            <w:vAlign w:val="center"/>
            <w:tcMar>
              <w:top w:w="100" w:type="dxa"/>
              <w:start w:w="120" w:type="dxa"/>
              <w:bottom w:w="100" w:type="dxa"/>
              <w:end w:w="120" w:type="dxa"/>
            </w:tcMar>
          </w:tcPr>
          <w:p>
            <w:r/>
            <w:r>
              <w:rPr>
                <w:b w:val="0"/>
                <w:color w:val="1E293B"/>
                <w:sz w:val="17"/>
              </w:rPr>
              <w:t>risk.* event consumers</w:t>
            </w:r>
          </w:p>
        </w:tc>
        <w:tc>
          <w:tcPr>
            <w:tcW w:type="dxa" w:w="4968"/>
            <w:vAlign w:val="center"/>
            <w:tcMar>
              <w:top w:w="100" w:type="dxa"/>
              <w:start w:w="120" w:type="dxa"/>
              <w:bottom w:w="100" w:type="dxa"/>
              <w:end w:w="120" w:type="dxa"/>
            </w:tcMar>
          </w:tcPr>
          <w:p>
            <w:r/>
            <w:r>
              <w:rPr>
                <w:b w:val="0"/>
                <w:color w:val="1E293B"/>
                <w:sz w:val="17"/>
              </w:rPr>
              <w:t>RoboRisk secrets/vendor credentials</w:t>
            </w:r>
          </w:p>
        </w:tc>
      </w:tr>
      <w:tr>
        <w:tc>
          <w:tcPr>
            <w:tcW w:type="dxa" w:w="4968"/>
            <w:vAlign w:val="center"/>
            <w:tcMar>
              <w:top w:w="100" w:type="dxa"/>
              <w:start w:w="120" w:type="dxa"/>
              <w:bottom w:w="100" w:type="dxa"/>
              <w:end w:w="120" w:type="dxa"/>
            </w:tcMar>
          </w:tcPr>
          <w:p>
            <w:r/>
            <w:r>
              <w:rPr>
                <w:b w:val="0"/>
                <w:color w:val="1E293B"/>
                <w:sz w:val="17"/>
              </w:rPr>
              <w:t>Health/retry/reconciliation logic</w:t>
            </w:r>
          </w:p>
        </w:tc>
        <w:tc>
          <w:tcPr>
            <w:tcW w:type="dxa" w:w="4968"/>
            <w:vAlign w:val="center"/>
            <w:tcMar>
              <w:top w:w="100" w:type="dxa"/>
              <w:start w:w="120" w:type="dxa"/>
              <w:bottom w:w="100" w:type="dxa"/>
              <w:end w:w="120" w:type="dxa"/>
            </w:tcMar>
          </w:tcPr>
          <w:p>
            <w:r/>
            <w:r>
              <w:rPr>
                <w:b w:val="0"/>
                <w:color w:val="1E293B"/>
                <w:sz w:val="17"/>
              </w:rPr>
              <w:t>Card data passed to RoboRisk</w:t>
            </w:r>
          </w:p>
        </w:tc>
      </w:tr>
    </w:tbl>
    <w:p/>
    <w:p>
      <w:pPr>
        <w:pStyle w:val="Heading1"/>
      </w:pPr>
      <w:r>
        <w:t>9. Go-Live Gate - Production Rule</w:t>
      </w:r>
    </w:p>
    <w:p>
      <w:pPr>
        <w:jc w:val="center"/>
      </w:pPr>
      <w:r>
        <w:drawing>
          <wp:inline xmlns:a="http://schemas.openxmlformats.org/drawingml/2006/main" xmlns:pic="http://schemas.openxmlformats.org/drawingml/2006/picture">
            <wp:extent cx="6400800" cy="2218944"/>
            <wp:docPr id="5" name="Picture 5"/>
            <wp:cNvGraphicFramePr>
              <a:graphicFrameLocks noChangeAspect="1"/>
            </wp:cNvGraphicFramePr>
            <a:graphic>
              <a:graphicData uri="http://schemas.openxmlformats.org/drawingml/2006/picture">
                <pic:pic>
                  <pic:nvPicPr>
                    <pic:cNvPr id="0" name="fig_v371_go_live.png"/>
                    <pic:cNvPicPr/>
                  </pic:nvPicPr>
                  <pic:blipFill>
                    <a:blip r:embed="rId13"/>
                    <a:stretch>
                      <a:fillRect/>
                    </a:stretch>
                  </pic:blipFill>
                  <pic:spPr>
                    <a:xfrm>
                      <a:off x="0" y="0"/>
                      <a:ext cx="6400800" cy="2218944"/>
                    </a:xfrm>
                    <a:prstGeom prst="rect"/>
                  </pic:spPr>
                </pic:pic>
              </a:graphicData>
            </a:graphic>
          </wp:inline>
        </w:drawing>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100" w:type="dxa"/>
              <w:start w:w="120" w:type="dxa"/>
              <w:bottom w:w="100" w:type="dxa"/>
              <w:end w:w="120" w:type="dxa"/>
            </w:tcMar>
            <w:shd w:fill="173A63"/>
          </w:tcPr>
          <w:p>
            <w:pPr>
              <w:jc w:val="center"/>
            </w:pPr>
            <w:r/>
            <w:r>
              <w:rPr>
                <w:b/>
                <w:color w:val="FFFFFF"/>
                <w:sz w:val="17"/>
              </w:rPr>
              <w:t>Required check</w:t>
            </w:r>
          </w:p>
        </w:tc>
        <w:tc>
          <w:tcPr>
            <w:tcW w:type="dxa" w:w="7056"/>
            <w:vAlign w:val="center"/>
            <w:tcMar>
              <w:top w:w="100" w:type="dxa"/>
              <w:start w:w="120" w:type="dxa"/>
              <w:bottom w:w="100" w:type="dxa"/>
              <w:end w:w="120" w:type="dxa"/>
            </w:tcMar>
            <w:shd w:fill="173A63"/>
          </w:tcPr>
          <w:p>
            <w:pPr>
              <w:jc w:val="center"/>
            </w:pPr>
            <w:r/>
            <w:r>
              <w:rPr>
                <w:b/>
                <w:color w:val="FFFFFF"/>
                <w:sz w:val="17"/>
              </w:rPr>
              <w:t>Gate behavior</w:t>
            </w:r>
          </w:p>
        </w:tc>
      </w:tr>
      <w:tr>
        <w:tc>
          <w:tcPr>
            <w:tcW w:type="dxa" w:w="2880"/>
            <w:vAlign w:val="center"/>
            <w:tcMar>
              <w:top w:w="100" w:type="dxa"/>
              <w:start w:w="120" w:type="dxa"/>
              <w:bottom w:w="100" w:type="dxa"/>
              <w:end w:w="120" w:type="dxa"/>
            </w:tcMar>
          </w:tcPr>
          <w:p>
            <w:r/>
            <w:r>
              <w:rPr>
                <w:b w:val="0"/>
                <w:color w:val="1E293B"/>
                <w:sz w:val="17"/>
              </w:rPr>
              <w:t>Underwriting</w:t>
            </w:r>
          </w:p>
        </w:tc>
        <w:tc>
          <w:tcPr>
            <w:tcW w:type="dxa" w:w="7056"/>
            <w:vAlign w:val="center"/>
            <w:tcMar>
              <w:top w:w="100" w:type="dxa"/>
              <w:start w:w="120" w:type="dxa"/>
              <w:bottom w:w="100" w:type="dxa"/>
              <w:end w:w="120" w:type="dxa"/>
            </w:tcMar>
          </w:tcPr>
          <w:p>
            <w:r/>
            <w:r>
              <w:rPr>
                <w:b w:val="0"/>
                <w:color w:val="1E293B"/>
                <w:sz w:val="17"/>
              </w:rPr>
              <w:t>Authorized decision recorded.</w:t>
            </w:r>
          </w:p>
        </w:tc>
      </w:tr>
      <w:tr>
        <w:tc>
          <w:tcPr>
            <w:tcW w:type="dxa" w:w="2880"/>
            <w:vAlign w:val="center"/>
            <w:tcMar>
              <w:top w:w="100" w:type="dxa"/>
              <w:start w:w="120" w:type="dxa"/>
              <w:bottom w:w="100" w:type="dxa"/>
              <w:end w:w="120" w:type="dxa"/>
            </w:tcMar>
          </w:tcPr>
          <w:p>
            <w:r/>
            <w:r>
              <w:rPr>
                <w:b w:val="0"/>
                <w:color w:val="1E293B"/>
                <w:sz w:val="17"/>
              </w:rPr>
              <w:t>Processor</w:t>
            </w:r>
          </w:p>
        </w:tc>
        <w:tc>
          <w:tcPr>
            <w:tcW w:type="dxa" w:w="7056"/>
            <w:vAlign w:val="center"/>
            <w:tcMar>
              <w:top w:w="100" w:type="dxa"/>
              <w:start w:w="120" w:type="dxa"/>
              <w:bottom w:w="100" w:type="dxa"/>
              <w:end w:w="120" w:type="dxa"/>
            </w:tcMar>
          </w:tcPr>
          <w:p>
            <w:r/>
            <w:r>
              <w:rPr>
                <w:b w:val="0"/>
                <w:color w:val="1E293B"/>
                <w:sz w:val="17"/>
              </w:rPr>
              <w:t>Approval and production MID/TID recorded.</w:t>
            </w:r>
          </w:p>
        </w:tc>
      </w:tr>
      <w:tr>
        <w:tc>
          <w:tcPr>
            <w:tcW w:type="dxa" w:w="2880"/>
            <w:vAlign w:val="center"/>
            <w:tcMar>
              <w:top w:w="100" w:type="dxa"/>
              <w:start w:w="120" w:type="dxa"/>
              <w:bottom w:w="100" w:type="dxa"/>
              <w:end w:w="120" w:type="dxa"/>
            </w:tcMar>
          </w:tcPr>
          <w:p>
            <w:r/>
            <w:r>
              <w:rPr>
                <w:b w:val="0"/>
                <w:color w:val="1E293B"/>
                <w:sz w:val="17"/>
              </w:rPr>
              <w:t>Credentials</w:t>
            </w:r>
          </w:p>
        </w:tc>
        <w:tc>
          <w:tcPr>
            <w:tcW w:type="dxa" w:w="7056"/>
            <w:vAlign w:val="center"/>
            <w:tcMar>
              <w:top w:w="100" w:type="dxa"/>
              <w:start w:w="120" w:type="dxa"/>
              <w:bottom w:w="100" w:type="dxa"/>
              <w:end w:w="120" w:type="dxa"/>
            </w:tcMar>
          </w:tcPr>
          <w:p>
            <w:r/>
            <w:r>
              <w:rPr>
                <w:b w:val="0"/>
                <w:color w:val="1E293B"/>
                <w:sz w:val="17"/>
              </w:rPr>
              <w:t>Stored through approved secrets process.</w:t>
            </w:r>
          </w:p>
        </w:tc>
      </w:tr>
      <w:tr>
        <w:tc>
          <w:tcPr>
            <w:tcW w:type="dxa" w:w="2880"/>
            <w:vAlign w:val="center"/>
            <w:tcMar>
              <w:top w:w="100" w:type="dxa"/>
              <w:start w:w="120" w:type="dxa"/>
              <w:bottom w:w="100" w:type="dxa"/>
              <w:end w:w="120" w:type="dxa"/>
            </w:tcMar>
          </w:tcPr>
          <w:p>
            <w:r/>
            <w:r>
              <w:rPr>
                <w:b w:val="0"/>
                <w:color w:val="1E293B"/>
                <w:sz w:val="17"/>
              </w:rPr>
              <w:t>Payments</w:t>
            </w:r>
          </w:p>
        </w:tc>
        <w:tc>
          <w:tcPr>
            <w:tcW w:type="dxa" w:w="7056"/>
            <w:vAlign w:val="center"/>
            <w:tcMar>
              <w:top w:w="100" w:type="dxa"/>
              <w:start w:w="120" w:type="dxa"/>
              <w:bottom w:w="100" w:type="dxa"/>
              <w:end w:w="120" w:type="dxa"/>
            </w:tcMar>
          </w:tcPr>
          <w:p>
            <w:r/>
            <w:r>
              <w:rPr>
                <w:b w:val="0"/>
                <w:color w:val="1E293B"/>
                <w:sz w:val="17"/>
              </w:rPr>
              <w:t>Test sale plus required refund/void validation passed.</w:t>
            </w:r>
          </w:p>
        </w:tc>
      </w:tr>
      <w:tr>
        <w:tc>
          <w:tcPr>
            <w:tcW w:type="dxa" w:w="2880"/>
            <w:vAlign w:val="center"/>
            <w:tcMar>
              <w:top w:w="100" w:type="dxa"/>
              <w:start w:w="120" w:type="dxa"/>
              <w:bottom w:w="100" w:type="dxa"/>
              <w:end w:w="120" w:type="dxa"/>
            </w:tcMar>
          </w:tcPr>
          <w:p>
            <w:r/>
            <w:r>
              <w:rPr>
                <w:b w:val="0"/>
                <w:color w:val="1E293B"/>
                <w:sz w:val="17"/>
              </w:rPr>
              <w:t>Webhooks</w:t>
            </w:r>
          </w:p>
        </w:tc>
        <w:tc>
          <w:tcPr>
            <w:tcW w:type="dxa" w:w="7056"/>
            <w:vAlign w:val="center"/>
            <w:tcMar>
              <w:top w:w="100" w:type="dxa"/>
              <w:start w:w="120" w:type="dxa"/>
              <w:bottom w:w="100" w:type="dxa"/>
              <w:end w:w="120" w:type="dxa"/>
            </w:tcMar>
          </w:tcPr>
          <w:p>
            <w:r/>
            <w:r>
              <w:rPr>
                <w:b w:val="0"/>
                <w:color w:val="1E293B"/>
                <w:sz w:val="17"/>
              </w:rPr>
              <w:t>Delivery validated.</w:t>
            </w:r>
          </w:p>
        </w:tc>
      </w:tr>
      <w:tr>
        <w:tc>
          <w:tcPr>
            <w:tcW w:type="dxa" w:w="2880"/>
            <w:vAlign w:val="center"/>
            <w:tcMar>
              <w:top w:w="100" w:type="dxa"/>
              <w:start w:w="120" w:type="dxa"/>
              <w:bottom w:w="100" w:type="dxa"/>
              <w:end w:w="120" w:type="dxa"/>
            </w:tcMar>
          </w:tcPr>
          <w:p>
            <w:r/>
            <w:r>
              <w:rPr>
                <w:b w:val="0"/>
                <w:color w:val="1E293B"/>
                <w:sz w:val="17"/>
              </w:rPr>
              <w:t>Settlement</w:t>
            </w:r>
          </w:p>
        </w:tc>
        <w:tc>
          <w:tcPr>
            <w:tcW w:type="dxa" w:w="7056"/>
            <w:vAlign w:val="center"/>
            <w:tcMar>
              <w:top w:w="100" w:type="dxa"/>
              <w:start w:w="120" w:type="dxa"/>
              <w:bottom w:w="100" w:type="dxa"/>
              <w:end w:w="120" w:type="dxa"/>
            </w:tcMar>
          </w:tcPr>
          <w:p>
            <w:r/>
            <w:r>
              <w:rPr>
                <w:b w:val="0"/>
                <w:color w:val="1E293B"/>
                <w:sz w:val="17"/>
              </w:rPr>
              <w:t>Funding/settlement configuration verified.</w:t>
            </w:r>
          </w:p>
        </w:tc>
      </w:tr>
      <w:tr>
        <w:tc>
          <w:tcPr>
            <w:tcW w:type="dxa" w:w="2880"/>
            <w:vAlign w:val="center"/>
            <w:tcMar>
              <w:top w:w="100" w:type="dxa"/>
              <w:start w:w="120" w:type="dxa"/>
              <w:bottom w:w="100" w:type="dxa"/>
              <w:end w:w="120" w:type="dxa"/>
            </w:tcMar>
          </w:tcPr>
          <w:p>
            <w:r/>
            <w:r>
              <w:rPr>
                <w:b w:val="0"/>
                <w:color w:val="1E293B"/>
                <w:sz w:val="17"/>
              </w:rPr>
              <w:t>Risk/PCI</w:t>
            </w:r>
          </w:p>
        </w:tc>
        <w:tc>
          <w:tcPr>
            <w:tcW w:type="dxa" w:w="7056"/>
            <w:vAlign w:val="center"/>
            <w:tcMar>
              <w:top w:w="100" w:type="dxa"/>
              <w:start w:w="120" w:type="dxa"/>
              <w:bottom w:w="100" w:type="dxa"/>
              <w:end w:w="120" w:type="dxa"/>
            </w:tcMar>
          </w:tcPr>
          <w:p>
            <w:r/>
            <w:r>
              <w:rPr>
                <w:b w:val="0"/>
                <w:color w:val="1E293B"/>
                <w:sz w:val="17"/>
              </w:rPr>
              <w:t>Limits, reserve, descriptor and PCI status recorded.</w:t>
            </w:r>
          </w:p>
        </w:tc>
      </w:tr>
      <w:tr>
        <w:tc>
          <w:tcPr>
            <w:tcW w:type="dxa" w:w="2880"/>
            <w:vAlign w:val="center"/>
            <w:tcMar>
              <w:top w:w="100" w:type="dxa"/>
              <w:start w:w="120" w:type="dxa"/>
              <w:bottom w:w="100" w:type="dxa"/>
              <w:end w:w="120" w:type="dxa"/>
            </w:tcMar>
          </w:tcPr>
          <w:p>
            <w:r/>
            <w:r>
              <w:rPr>
                <w:b w:val="0"/>
                <w:color w:val="1E293B"/>
                <w:sz w:val="17"/>
              </w:rPr>
              <w:t>Approval</w:t>
            </w:r>
          </w:p>
        </w:tc>
        <w:tc>
          <w:tcPr>
            <w:tcW w:type="dxa" w:w="7056"/>
            <w:vAlign w:val="center"/>
            <w:tcMar>
              <w:top w:w="100" w:type="dxa"/>
              <w:start w:w="120" w:type="dxa"/>
              <w:bottom w:w="100" w:type="dxa"/>
              <w:end w:w="120" w:type="dxa"/>
            </w:tcMar>
          </w:tcPr>
          <w:p>
            <w:r/>
            <w:r>
              <w:rPr>
                <w:b w:val="0"/>
                <w:color w:val="1E293B"/>
                <w:sz w:val="17"/>
              </w:rPr>
              <w:t>Second authorized human; requester cannot self-approve.</w:t>
            </w:r>
          </w:p>
        </w:tc>
      </w:tr>
    </w:tbl>
    <w:p/>
    <w:p>
      <w:r>
        <w:br w:type="page"/>
      </w:r>
    </w:p>
    <w:p>
      <w:pPr>
        <w:pStyle w:val="Heading1"/>
      </w:pPr>
      <w:r>
        <w:t>10. Roles, Access and Deployment</w:t>
      </w:r>
    </w:p>
    <w:p>
      <w:pPr>
        <w:jc w:val="center"/>
      </w:pPr>
      <w:r>
        <w:drawing>
          <wp:inline xmlns:a="http://schemas.openxmlformats.org/drawingml/2006/main" xmlns:pic="http://schemas.openxmlformats.org/drawingml/2006/picture">
            <wp:extent cx="6400800" cy="2218944"/>
            <wp:docPr id="6" name="Picture 6"/>
            <wp:cNvGraphicFramePr>
              <a:graphicFrameLocks noChangeAspect="1"/>
            </wp:cNvGraphicFramePr>
            <a:graphic>
              <a:graphicData uri="http://schemas.openxmlformats.org/drawingml/2006/picture">
                <pic:pic>
                  <pic:nvPicPr>
                    <pic:cNvPr id="0" name="fig_v371_roles.png"/>
                    <pic:cNvPicPr/>
                  </pic:nvPicPr>
                  <pic:blipFill>
                    <a:blip r:embed="rId14"/>
                    <a:stretch>
                      <a:fillRect/>
                    </a:stretch>
                  </pic:blipFill>
                  <pic:spPr>
                    <a:xfrm>
                      <a:off x="0" y="0"/>
                      <a:ext cx="6400800" cy="2218944"/>
                    </a:xfrm>
                    <a:prstGeom prst="rect"/>
                  </pic:spPr>
                </pic:pic>
              </a:graphicData>
            </a:graphic>
          </wp:inline>
        </w:drawing>
      </w:r>
    </w:p>
    <w:p>
      <w:pPr>
        <w:pStyle w:val="ListBullet"/>
      </w:pPr>
      <w:r>
        <w:t>Developers work through branches, pull requests and CI.</w:t>
      </w:r>
    </w:p>
    <w:p>
      <w:pPr>
        <w:pStyle w:val="ListBullet"/>
      </w:pPr>
      <w:r>
        <w:t>No developer needs unrestricted standing production server access for ordinary development.</w:t>
      </w:r>
    </w:p>
    <w:p>
      <w:pPr>
        <w:pStyle w:val="ListBullet"/>
      </w:pPr>
      <w:r>
        <w:t>Production secrets stay in approved secrets management and never in code, tickets, chat or logs.</w:t>
      </w:r>
    </w:p>
    <w:p>
      <w:pPr>
        <w:pStyle w:val="ListBullet"/>
      </w:pPr>
      <w:r>
        <w:t>Adam, as Systems Administrator / Platform Owner, owns production infrastructure controls and deployment authorization.</w:t>
      </w:r>
    </w:p>
    <w:p>
      <w:pPr>
        <w:pStyle w:val="ListBullet"/>
      </w:pPr>
      <w:r>
        <w:t>Lead PHP Developer owns technical readiness and code review; this is distinct from production authorization.</w:t>
      </w:r>
    </w:p>
    <w:p>
      <w:pPr>
        <w:pStyle w:val="Heading1"/>
      </w:pPr>
      <w:r>
        <w:t>11. Definition of Done for Every Sprint 0.5 Ticket</w:t>
      </w:r>
    </w:p>
    <w:p>
      <w:pPr>
        <w:pStyle w:val="ListBullet"/>
      </w:pPr>
      <w:r>
        <w:t>Acceptance criteria implemented and demonstrated.</w:t>
      </w:r>
    </w:p>
    <w:p>
      <w:pPr>
        <w:pStyle w:val="ListBullet"/>
      </w:pPr>
      <w:r>
        <w:t>Unit/feature/contract/security tests required by ticket are green.</w:t>
      </w:r>
    </w:p>
    <w:p>
      <w:pPr>
        <w:pStyle w:val="ListBullet"/>
      </w:pPr>
      <w:r>
        <w:t>Tenant-isolation tests added where data is tenant-scoped.</w:t>
      </w:r>
    </w:p>
    <w:p>
      <w:pPr>
        <w:pStyle w:val="ListBullet"/>
      </w:pPr>
      <w:r>
        <w:t>OpenAPI/contracts updated where interfaces change.</w:t>
      </w:r>
    </w:p>
    <w:p>
      <w:pPr>
        <w:pStyle w:val="ListBullet"/>
      </w:pPr>
      <w:r>
        <w:t>No secrets or sensitive data in logs/fixtures.</w:t>
      </w:r>
    </w:p>
    <w:p>
      <w:pPr>
        <w:pStyle w:val="ListBullet"/>
      </w:pPr>
      <w:r>
        <w:t>Feature flag/rollback behavior implemented exactly as specified.</w:t>
      </w:r>
    </w:p>
    <w:p>
      <w:pPr>
        <w:pStyle w:val="ListBullet"/>
      </w:pPr>
      <w:r>
        <w:t>Audit/event behavior verified.</w:t>
      </w:r>
    </w:p>
    <w:p>
      <w:pPr>
        <w:pStyle w:val="ListBullet"/>
      </w:pPr>
      <w:r>
        <w:t>Pull request reviewed by a human; security-relevant tickets receive security review.</w:t>
      </w:r>
    </w:p>
    <w:p>
      <w:pPr>
        <w:pStyle w:val="ListBullet"/>
      </w:pPr>
      <w:r>
        <w:t>Staging evidence attached before ticket is marked Done.</w:t>
      </w:r>
    </w:p>
    <w:p>
      <w:pPr>
        <w:pStyle w:val="Heading1"/>
      </w:pPr>
      <w:r>
        <w:t>12. Milestone #1 Acceptance</w:t>
      </w:r>
    </w:p>
    <w:tbl>
      <w:tblPr>
        <w:tblW w:type="auto" w:w="0"/>
        <w:jc w:val="center"/>
        <w:tblLayout w:type="fixed"/>
        <w:tblLook w:firstColumn="1" w:firstRow="1" w:lastColumn="0" w:lastRow="0" w:noHBand="0" w:noVBand="1" w:val="04A0"/>
      </w:tblPr>
      <w:tblGrid>
        <w:gridCol w:w="9936"/>
      </w:tblGrid>
      <w:tr>
        <w:tc>
          <w:tcPr>
            <w:tcW w:type="dxa" w:w="10166"/>
            <w:shd w:fill="F3F5F7"/>
            <w:tcMar>
              <w:top w:w="140" w:type="dxa"/>
              <w:start w:w="180" w:type="dxa"/>
              <w:bottom w:w="140" w:type="dxa"/>
              <w:end w:w="180" w:type="dxa"/>
            </w:tcMar>
          </w:tcPr>
          <w:p>
            <w:r>
              <w:rPr>
                <w:b/>
                <w:color w:val="F47A20"/>
                <w:sz w:val="20"/>
              </w:rPr>
              <w:t xml:space="preserve">MILESTONE #1  </w:t>
            </w:r>
            <w:r>
              <w:rPr>
                <w:sz w:val="20"/>
              </w:rPr>
              <w:t>Create a merchant -&gt; provision sandbox -&gt; run a $100 simulator transaction -&gt; write the transaction event -&gt; post a balanced ledger journal -&gt; produce a signed webhook -&gt; show the complete event timeline in the admin console. No real card data is used.</w:t>
            </w:r>
          </w:p>
        </w:tc>
      </w:tr>
    </w:tbl>
    <w:p/>
    <w:p>
      <w:pPr>
        <w:pStyle w:val="Heading1"/>
      </w:pPr>
      <w:r>
        <w:t>13. First Pilot Readiness Checklist</w:t>
      </w:r>
    </w:p>
    <w:p>
      <w:pPr>
        <w:pStyle w:val="ListBullet"/>
      </w:pPr>
      <w:r>
        <w:t>AR-174 Accepted.</w:t>
      </w:r>
    </w:p>
    <w:p>
      <w:pPr>
        <w:pStyle w:val="ListBullet"/>
      </w:pPr>
      <w:r>
        <w:t>Sprint 0 core simulator/identity/tenancy/outbox prerequisites green.</w:t>
      </w:r>
    </w:p>
    <w:p>
      <w:pPr>
        <w:pStyle w:val="ListBullet"/>
      </w:pPr>
      <w:r>
        <w:t>AR-168 and AR-171 green.</w:t>
      </w:r>
    </w:p>
    <w:p>
      <w:pPr>
        <w:pStyle w:val="ListBullet"/>
      </w:pPr>
      <w:r>
        <w:t>Document checklist and eligibility engine available for the pilot route.</w:t>
      </w:r>
    </w:p>
    <w:p>
      <w:pPr>
        <w:pStyle w:val="ListBullet"/>
      </w:pPr>
      <w:r>
        <w:t>Go-live gate tested fail-closed.</w:t>
      </w:r>
    </w:p>
    <w:p>
      <w:pPr>
        <w:pStyle w:val="ListBullet"/>
      </w:pPr>
      <w:r>
        <w:t>Backups and restore procedure tested.</w:t>
      </w:r>
    </w:p>
    <w:p>
      <w:pPr>
        <w:pStyle w:val="ListBullet"/>
      </w:pPr>
      <w:r>
        <w:t>Monitoring/alerts and connector health visible.</w:t>
      </w:r>
    </w:p>
    <w:p>
      <w:pPr>
        <w:pStyle w:val="ListBullet"/>
      </w:pPr>
      <w:r>
        <w:t>NMI sandbox/production access confirmed for intended route.</w:t>
      </w:r>
    </w:p>
    <w:p>
      <w:pPr>
        <w:pStyle w:val="ListBullet"/>
      </w:pPr>
      <w:r>
        <w:t>Pilot merchant and processor route approved by Operations/Risk.</w:t>
      </w:r>
    </w:p>
    <w:p>
      <w:pPr>
        <w:pStyle w:val="ListBullet"/>
      </w:pPr>
      <w:r>
        <w:t>Production deployment authorized by Platform Owner.</w:t>
      </w:r>
    </w:p>
    <w:p>
      <w:pPr>
        <w:pStyle w:val="Heading1"/>
      </w:pPr>
      <w:r>
        <w:t>14. Human Dependencies / External Unblocks</w:t>
      </w:r>
    </w:p>
    <w:tbl>
      <w:tblPr>
        <w:tblW w:type="auto" w:w="0"/>
        <w:jc w:val="center"/>
        <w:tblLayout w:type="fixed"/>
        <w:tblLook w:firstColumn="1" w:firstRow="1" w:lastColumn="0" w:lastRow="0" w:noHBand="0" w:noVBand="1" w:val="04A0"/>
      </w:tblPr>
      <w:tblGrid>
        <w:gridCol w:w="5083"/>
        <w:gridCol w:w="5083"/>
      </w:tblGrid>
      <w:tr>
        <w:tc>
          <w:tcPr>
            <w:tcW w:type="dxa" w:w="4464"/>
            <w:vAlign w:val="center"/>
            <w:tcMar>
              <w:top w:w="100" w:type="dxa"/>
              <w:start w:w="120" w:type="dxa"/>
              <w:bottom w:w="100" w:type="dxa"/>
              <w:end w:w="120" w:type="dxa"/>
            </w:tcMar>
            <w:shd w:fill="173A63"/>
          </w:tcPr>
          <w:p>
            <w:pPr>
              <w:jc w:val="center"/>
            </w:pPr>
            <w:r/>
            <w:r>
              <w:rPr>
                <w:b/>
                <w:color w:val="FFFFFF"/>
                <w:sz w:val="17"/>
              </w:rPr>
              <w:t>Dependency</w:t>
            </w:r>
          </w:p>
        </w:tc>
        <w:tc>
          <w:tcPr>
            <w:tcW w:type="dxa" w:w="5472"/>
            <w:vAlign w:val="center"/>
            <w:tcMar>
              <w:top w:w="100" w:type="dxa"/>
              <w:start w:w="120" w:type="dxa"/>
              <w:bottom w:w="100" w:type="dxa"/>
              <w:end w:w="120" w:type="dxa"/>
            </w:tcMar>
            <w:shd w:fill="173A63"/>
          </w:tcPr>
          <w:p>
            <w:pPr>
              <w:jc w:val="center"/>
            </w:pPr>
            <w:r/>
            <w:r>
              <w:rPr>
                <w:b/>
                <w:color w:val="FFFFFF"/>
                <w:sz w:val="17"/>
              </w:rPr>
              <w:t>Owner / action</w:t>
            </w:r>
          </w:p>
        </w:tc>
      </w:tr>
      <w:tr>
        <w:tc>
          <w:tcPr>
            <w:tcW w:type="dxa" w:w="4464"/>
            <w:vAlign w:val="center"/>
            <w:tcMar>
              <w:top w:w="100" w:type="dxa"/>
              <w:start w:w="120" w:type="dxa"/>
              <w:bottom w:w="100" w:type="dxa"/>
              <w:end w:w="120" w:type="dxa"/>
            </w:tcMar>
          </w:tcPr>
          <w:p>
            <w:r/>
            <w:r>
              <w:rPr>
                <w:b w:val="0"/>
                <w:color w:val="1E293B"/>
                <w:sz w:val="17"/>
              </w:rPr>
              <w:t>NMI sandbox and production API access</w:t>
            </w:r>
          </w:p>
        </w:tc>
        <w:tc>
          <w:tcPr>
            <w:tcW w:type="dxa" w:w="5472"/>
            <w:vAlign w:val="center"/>
            <w:tcMar>
              <w:top w:w="100" w:type="dxa"/>
              <w:start w:w="120" w:type="dxa"/>
              <w:bottom w:w="100" w:type="dxa"/>
              <w:end w:w="120" w:type="dxa"/>
            </w:tcMar>
          </w:tcPr>
          <w:p>
            <w:r/>
            <w:r>
              <w:rPr>
                <w:b w:val="0"/>
                <w:color w:val="1E293B"/>
                <w:sz w:val="17"/>
              </w:rPr>
              <w:t>Platform Owner / provider relationship</w:t>
            </w:r>
          </w:p>
        </w:tc>
      </w:tr>
      <w:tr>
        <w:tc>
          <w:tcPr>
            <w:tcW w:type="dxa" w:w="4464"/>
            <w:vAlign w:val="center"/>
            <w:tcMar>
              <w:top w:w="100" w:type="dxa"/>
              <w:start w:w="120" w:type="dxa"/>
              <w:bottom w:w="100" w:type="dxa"/>
              <w:end w:w="120" w:type="dxa"/>
            </w:tcMar>
          </w:tcPr>
          <w:p>
            <w:r/>
            <w:r>
              <w:rPr>
                <w:b w:val="0"/>
                <w:color w:val="1E293B"/>
                <w:sz w:val="17"/>
              </w:rPr>
              <w:t>Gattera API documentation and sandbox</w:t>
            </w:r>
          </w:p>
        </w:tc>
        <w:tc>
          <w:tcPr>
            <w:tcW w:type="dxa" w:w="5472"/>
            <w:vAlign w:val="center"/>
            <w:tcMar>
              <w:top w:w="100" w:type="dxa"/>
              <w:start w:w="120" w:type="dxa"/>
              <w:bottom w:w="100" w:type="dxa"/>
              <w:end w:w="120" w:type="dxa"/>
            </w:tcMar>
          </w:tcPr>
          <w:p>
            <w:r/>
            <w:r>
              <w:rPr>
                <w:b w:val="0"/>
                <w:color w:val="1E293B"/>
                <w:sz w:val="17"/>
              </w:rPr>
              <w:t>Platform Owner / provider relationship</w:t>
            </w:r>
          </w:p>
        </w:tc>
      </w:tr>
      <w:tr>
        <w:tc>
          <w:tcPr>
            <w:tcW w:type="dxa" w:w="4464"/>
            <w:vAlign w:val="center"/>
            <w:tcMar>
              <w:top w:w="100" w:type="dxa"/>
              <w:start w:w="120" w:type="dxa"/>
              <w:bottom w:w="100" w:type="dxa"/>
              <w:end w:w="120" w:type="dxa"/>
            </w:tcMar>
          </w:tcPr>
          <w:p>
            <w:r/>
            <w:r>
              <w:rPr>
                <w:b w:val="0"/>
                <w:color w:val="1E293B"/>
                <w:sz w:val="17"/>
              </w:rPr>
              <w:t>Merchant and fee agreement wording</w:t>
            </w:r>
          </w:p>
        </w:tc>
        <w:tc>
          <w:tcPr>
            <w:tcW w:type="dxa" w:w="5472"/>
            <w:vAlign w:val="center"/>
            <w:tcMar>
              <w:top w:w="100" w:type="dxa"/>
              <w:start w:w="120" w:type="dxa"/>
              <w:bottom w:w="100" w:type="dxa"/>
              <w:end w:w="120" w:type="dxa"/>
            </w:tcMar>
          </w:tcPr>
          <w:p>
            <w:r/>
            <w:r>
              <w:rPr>
                <w:b w:val="0"/>
                <w:color w:val="1E293B"/>
                <w:sz w:val="17"/>
              </w:rPr>
              <w:t>Counsel + management approval</w:t>
            </w:r>
          </w:p>
        </w:tc>
      </w:tr>
      <w:tr>
        <w:tc>
          <w:tcPr>
            <w:tcW w:type="dxa" w:w="4464"/>
            <w:vAlign w:val="center"/>
            <w:tcMar>
              <w:top w:w="100" w:type="dxa"/>
              <w:start w:w="120" w:type="dxa"/>
              <w:bottom w:w="100" w:type="dxa"/>
              <w:end w:w="120" w:type="dxa"/>
            </w:tcMar>
          </w:tcPr>
          <w:p>
            <w:r/>
            <w:r>
              <w:rPr>
                <w:b w:val="0"/>
                <w:color w:val="1E293B"/>
                <w:sz w:val="17"/>
              </w:rPr>
              <w:t>Pilot merchant list</w:t>
            </w:r>
          </w:p>
        </w:tc>
        <w:tc>
          <w:tcPr>
            <w:tcW w:type="dxa" w:w="5472"/>
            <w:vAlign w:val="center"/>
            <w:tcMar>
              <w:top w:w="100" w:type="dxa"/>
              <w:start w:w="120" w:type="dxa"/>
              <w:bottom w:w="100" w:type="dxa"/>
              <w:end w:w="120" w:type="dxa"/>
            </w:tcMar>
          </w:tcPr>
          <w:p>
            <w:r/>
            <w:r>
              <w:rPr>
                <w:b w:val="0"/>
                <w:color w:val="1E293B"/>
                <w:sz w:val="17"/>
              </w:rPr>
              <w:t>Management / Operations</w:t>
            </w:r>
          </w:p>
        </w:tc>
      </w:tr>
      <w:tr>
        <w:tc>
          <w:tcPr>
            <w:tcW w:type="dxa" w:w="4464"/>
            <w:vAlign w:val="center"/>
            <w:tcMar>
              <w:top w:w="100" w:type="dxa"/>
              <w:start w:w="120" w:type="dxa"/>
              <w:bottom w:w="100" w:type="dxa"/>
              <w:end w:w="120" w:type="dxa"/>
            </w:tcMar>
          </w:tcPr>
          <w:p>
            <w:r/>
            <w:r>
              <w:rPr>
                <w:b w:val="0"/>
                <w:color w:val="1E293B"/>
                <w:sz w:val="17"/>
              </w:rPr>
              <w:t>Elavon Solution Engineer session</w:t>
            </w:r>
          </w:p>
        </w:tc>
        <w:tc>
          <w:tcPr>
            <w:tcW w:type="dxa" w:w="5472"/>
            <w:vAlign w:val="center"/>
            <w:tcMar>
              <w:top w:w="100" w:type="dxa"/>
              <w:start w:w="120" w:type="dxa"/>
              <w:bottom w:w="100" w:type="dxa"/>
              <w:end w:w="120" w:type="dxa"/>
            </w:tcMar>
          </w:tcPr>
          <w:p>
            <w:r/>
            <w:r>
              <w:rPr>
                <w:b w:val="0"/>
                <w:color w:val="1E293B"/>
                <w:sz w:val="17"/>
              </w:rPr>
              <w:t>Management / Elavon relationship</w:t>
            </w:r>
          </w:p>
        </w:tc>
      </w:tr>
      <w:tr>
        <w:tc>
          <w:tcPr>
            <w:tcW w:type="dxa" w:w="4464"/>
            <w:vAlign w:val="center"/>
            <w:tcMar>
              <w:top w:w="100" w:type="dxa"/>
              <w:start w:w="120" w:type="dxa"/>
              <w:bottom w:w="100" w:type="dxa"/>
              <w:end w:w="120" w:type="dxa"/>
            </w:tcMar>
          </w:tcPr>
          <w:p>
            <w:r/>
            <w:r>
              <w:rPr>
                <w:b w:val="0"/>
                <w:color w:val="1E293B"/>
                <w:sz w:val="17"/>
              </w:rPr>
              <w:t>Lead PHP Developer GitHub identity</w:t>
            </w:r>
          </w:p>
        </w:tc>
        <w:tc>
          <w:tcPr>
            <w:tcW w:type="dxa" w:w="5472"/>
            <w:vAlign w:val="center"/>
            <w:tcMar>
              <w:top w:w="100" w:type="dxa"/>
              <w:start w:w="120" w:type="dxa"/>
              <w:bottom w:w="100" w:type="dxa"/>
              <w:end w:w="120" w:type="dxa"/>
            </w:tcMar>
          </w:tcPr>
          <w:p>
            <w:r/>
            <w:r>
              <w:rPr>
                <w:b w:val="0"/>
                <w:color w:val="1E293B"/>
                <w:sz w:val="17"/>
              </w:rPr>
              <w:t>Add actual username to CODEOWNERS/rail-owners before coding sessions</w:t>
            </w:r>
          </w:p>
        </w:tc>
      </w:tr>
    </w:tbl>
    <w:p/>
    <w:p>
      <w:pPr>
        <w:pStyle w:val="Heading1"/>
      </w:pPr>
      <w:r>
        <w:t>15. Developer Start Instruction</w:t>
      </w:r>
    </w:p>
    <w:tbl>
      <w:tblPr>
        <w:tblW w:type="auto" w:w="0"/>
        <w:jc w:val="center"/>
        <w:tblLayout w:type="fixed"/>
        <w:tblLook w:firstColumn="1" w:firstRow="1" w:lastColumn="0" w:lastRow="0" w:noHBand="0" w:noVBand="1" w:val="04A0"/>
      </w:tblPr>
      <w:tblGrid>
        <w:gridCol w:w="9936"/>
      </w:tblGrid>
      <w:tr>
        <w:tc>
          <w:tcPr>
            <w:tcW w:type="dxa" w:w="10166"/>
            <w:shd w:fill="F3F5F7"/>
            <w:tcMar>
              <w:top w:w="140" w:type="dxa"/>
              <w:start w:w="180" w:type="dxa"/>
              <w:bottom w:w="140" w:type="dxa"/>
              <w:end w:w="180" w:type="dxa"/>
            </w:tcMar>
          </w:tcPr>
          <w:p>
            <w:r>
              <w:rPr>
                <w:b/>
                <w:color w:val="F47A20"/>
                <w:sz w:val="20"/>
              </w:rPr>
              <w:t xml:space="preserve">START HERE  </w:t>
            </w:r>
            <w:r>
              <w:rPr>
                <w:sz w:val="20"/>
              </w:rPr>
              <w:t>1) Read AGENTS.md, SECURITY.md, ADR-0004 and the assigned ticket. 2) AR-174 is documentation/approval first. 3) One ticket per branch/session. 4) Simulator only until the ticket explicitly permits another environment. 5) No real card data or secrets in chat. 6) Human approval for every merge. 7) Production deployment requires Platform Owner authorization.</w:t>
            </w:r>
          </w:p>
        </w:tc>
      </w:tr>
    </w:tbl>
    <w:p/>
    <w:p>
      <w:r>
        <w:t>Package version: V3.7.1 • Prepared October 4, 2026</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eDataPay / AmpliRail 2.0 • V3.7.1 Developer Package •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3A63"/>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F47A2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173A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A6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