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C1" w:rsidRDefault="00903B77" w:rsidP="00903B77">
      <w:pPr>
        <w:pStyle w:val="Title"/>
        <w:jc w:val="center"/>
      </w:pPr>
      <w:r>
        <w:t>ANLY 53</w:t>
      </w:r>
      <w:r w:rsidR="005043AC">
        <w:t>3</w:t>
      </w:r>
      <w:r>
        <w:t xml:space="preserve"> – </w:t>
      </w:r>
      <w:r w:rsidR="002F43A4">
        <w:t>PCA and Logistic Regression</w:t>
      </w:r>
    </w:p>
    <w:p w:rsidR="00903B77" w:rsidRDefault="00903B77" w:rsidP="00903B77">
      <w:pPr>
        <w:jc w:val="center"/>
      </w:pPr>
    </w:p>
    <w:p w:rsidR="00903B77" w:rsidRDefault="002F43A4" w:rsidP="00903B77">
      <w:pPr>
        <w:pStyle w:val="Subtitle"/>
        <w:jc w:val="center"/>
      </w:pPr>
      <w:r>
        <w:t>Improving mailing performance by predicting consumer likelihood to purchase a service contract.</w:t>
      </w:r>
    </w:p>
    <w:p w:rsidR="00903B77" w:rsidRDefault="00903B77" w:rsidP="00903B77">
      <w:pPr>
        <w:jc w:val="center"/>
      </w:pPr>
    </w:p>
    <w:p w:rsidR="008D7313" w:rsidRDefault="00B22758" w:rsidP="006679D0">
      <w:pPr>
        <w:pStyle w:val="Subtitle"/>
        <w:jc w:val="center"/>
      </w:pPr>
      <w:r>
        <w:t>Analyst</w:t>
      </w:r>
      <w:r w:rsidR="00903B77">
        <w:t>: Adam Sampson</w:t>
      </w:r>
      <w:r w:rsidR="00C2752B">
        <w:br/>
      </w:r>
    </w:p>
    <w:p w:rsidR="006679D0" w:rsidRDefault="006679D0" w:rsidP="006679D0"/>
    <w:p w:rsidR="006679D0" w:rsidRPr="006679D0" w:rsidRDefault="006679D0" w:rsidP="006679D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392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4E74" w:rsidRDefault="00384E74">
          <w:pPr>
            <w:pStyle w:val="TOCHeading"/>
          </w:pPr>
          <w:r>
            <w:t>Contents</w:t>
          </w:r>
        </w:p>
        <w:p w:rsidR="00921D66" w:rsidRDefault="00384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90128" w:history="1">
            <w:r w:rsidR="00921D66" w:rsidRPr="00C1424A">
              <w:rPr>
                <w:rStyle w:val="Hyperlink"/>
                <w:noProof/>
              </w:rPr>
              <w:t>Introduction and Business Problem</w:t>
            </w:r>
            <w:r w:rsidR="00921D66">
              <w:rPr>
                <w:noProof/>
                <w:webHidden/>
              </w:rPr>
              <w:tab/>
            </w:r>
            <w:r w:rsidR="00921D66">
              <w:rPr>
                <w:noProof/>
                <w:webHidden/>
              </w:rPr>
              <w:fldChar w:fldCharType="begin"/>
            </w:r>
            <w:r w:rsidR="00921D66">
              <w:rPr>
                <w:noProof/>
                <w:webHidden/>
              </w:rPr>
              <w:instrText xml:space="preserve"> PAGEREF _Toc498290128 \h </w:instrText>
            </w:r>
            <w:r w:rsidR="00921D66">
              <w:rPr>
                <w:noProof/>
                <w:webHidden/>
              </w:rPr>
            </w:r>
            <w:r w:rsidR="00921D66">
              <w:rPr>
                <w:noProof/>
                <w:webHidden/>
              </w:rPr>
              <w:fldChar w:fldCharType="separate"/>
            </w:r>
            <w:r w:rsidR="00921D66">
              <w:rPr>
                <w:noProof/>
                <w:webHidden/>
              </w:rPr>
              <w:t>2</w:t>
            </w:r>
            <w:r w:rsidR="00921D66"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29" w:history="1">
            <w:r w:rsidRPr="00C1424A">
              <w:rPr>
                <w:rStyle w:val="Hyperlink"/>
                <w:noProof/>
              </w:rPr>
              <w:t>Assumptions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30" w:history="1">
            <w:r w:rsidRPr="00C1424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1" w:history="1">
            <w:r w:rsidRPr="00C1424A">
              <w:rPr>
                <w:rStyle w:val="Hyperlink"/>
                <w:noProof/>
              </w:rPr>
              <w:t>Brand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2" w:history="1">
            <w:r w:rsidRPr="00C1424A">
              <w:rPr>
                <w:rStyle w:val="Hyperlink"/>
                <w:noProof/>
              </w:rPr>
              <w:t>Product Group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3" w:history="1">
            <w:r w:rsidRPr="00C1424A">
              <w:rPr>
                <w:rStyle w:val="Hyperlink"/>
                <w:noProof/>
              </w:rPr>
              <w:t>MSRP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4" w:history="1">
            <w:r w:rsidRPr="00C1424A">
              <w:rPr>
                <w:rStyle w:val="Hyperlink"/>
                <w:noProof/>
              </w:rPr>
              <w:t>Offer Price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5" w:history="1">
            <w:r w:rsidRPr="00C1424A">
              <w:rPr>
                <w:rStyle w:val="Hyperlink"/>
                <w:noProof/>
              </w:rPr>
              <w:t>Census Data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290136" w:history="1">
            <w:r w:rsidRPr="00C1424A">
              <w:rPr>
                <w:rStyle w:val="Hyperlink"/>
                <w:noProof/>
              </w:rPr>
              <w:t>Performance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37" w:history="1">
            <w:r w:rsidRPr="00C1424A">
              <w:rPr>
                <w:rStyle w:val="Hyperlink"/>
                <w:noProof/>
              </w:rPr>
              <w:t>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38" w:history="1">
            <w:r w:rsidRPr="00C1424A">
              <w:rPr>
                <w:rStyle w:val="Hyperlink"/>
                <w:noProof/>
              </w:rPr>
              <w:t>Appendix A: Logistic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39" w:history="1">
            <w:r w:rsidRPr="00C1424A">
              <w:rPr>
                <w:rStyle w:val="Hyperlink"/>
                <w:noProof/>
              </w:rPr>
              <w:t>Appendix B: Odds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66" w:rsidRDefault="00921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90140" w:history="1">
            <w:r w:rsidRPr="00C1424A">
              <w:rPr>
                <w:rStyle w:val="Hyperlink"/>
                <w:noProof/>
              </w:rPr>
              <w:t>Appendix C: PCA Top 10 Contributors by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E74" w:rsidRDefault="00384E74">
          <w:r>
            <w:rPr>
              <w:b/>
              <w:bCs/>
              <w:noProof/>
            </w:rPr>
            <w:fldChar w:fldCharType="end"/>
          </w:r>
        </w:p>
      </w:sdtContent>
    </w:sdt>
    <w:p w:rsidR="005043AC" w:rsidRDefault="005043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9D0" w:rsidRDefault="006679D0" w:rsidP="006679D0">
      <w:pPr>
        <w:pStyle w:val="Heading1"/>
      </w:pPr>
      <w:bookmarkStart w:id="0" w:name="_Toc498290128"/>
      <w:r>
        <w:lastRenderedPageBreak/>
        <w:t>Introduction and Business Problem</w:t>
      </w:r>
      <w:bookmarkEnd w:id="0"/>
    </w:p>
    <w:p w:rsidR="002F43A4" w:rsidRDefault="002F43A4" w:rsidP="00890C45">
      <w:pPr>
        <w:ind w:left="720"/>
      </w:pPr>
      <w:r>
        <w:t>Mailers for service contracts on appliances are currently resulting in 3.04% service contract purchase rate. Service contracts are worth either $60 or $70 revenue, less the expected payout on a service contract. Low conversion rates are detrimental to the marketing campaign. At this time</w:t>
      </w:r>
      <w:r w:rsidR="00FF70BF">
        <w:t>,</w:t>
      </w:r>
      <w:r>
        <w:t xml:space="preserve"> not enough information has been provided to determine the profitability of the current or future campaigns. </w:t>
      </w:r>
    </w:p>
    <w:p w:rsidR="006679D0" w:rsidRPr="006679D0" w:rsidRDefault="002F43A4" w:rsidP="00890C45">
      <w:pPr>
        <w:ind w:left="720"/>
      </w:pPr>
      <w:r>
        <w:t xml:space="preserve">The objective of this analysis is to explain a consumer’s likelihood to purchase a new service contract. This data will need to be combined with campaign cost and profit expectation numbers </w:t>
      </w:r>
      <w:r w:rsidR="00921D66">
        <w:t>to</w:t>
      </w:r>
      <w:r>
        <w:t xml:space="preserve"> determine path forward.</w:t>
      </w:r>
    </w:p>
    <w:p w:rsidR="00384E74" w:rsidRDefault="005043AC" w:rsidP="00903B77">
      <w:pPr>
        <w:pStyle w:val="Heading1"/>
      </w:pPr>
      <w:bookmarkStart w:id="1" w:name="_Toc498290129"/>
      <w:r>
        <w:t>Assumptions and Methodology</w:t>
      </w:r>
      <w:bookmarkEnd w:id="1"/>
    </w:p>
    <w:p w:rsidR="00DE765D" w:rsidRDefault="00DE765D" w:rsidP="00C95374">
      <w:pPr>
        <w:ind w:left="720"/>
      </w:pPr>
      <w:r>
        <w:t xml:space="preserve">The method used to perform the analysis is included in the SampsonRegressionAnalysis.R script. </w:t>
      </w:r>
      <w:r w:rsidR="00C95374">
        <w:t>For further information look there.</w:t>
      </w:r>
    </w:p>
    <w:p w:rsidR="00C95374" w:rsidRPr="00DE765D" w:rsidRDefault="00C95374" w:rsidP="00C95374">
      <w:pPr>
        <w:ind w:left="720"/>
      </w:pPr>
      <w:r>
        <w:t xml:space="preserve">In brief, a Principal Component Analysis was applied to provided census data for the block group of each customer. This was combined with the sales, brand, model, and pricing data to perform a logistic regression analysis. </w:t>
      </w:r>
    </w:p>
    <w:p w:rsidR="00384E74" w:rsidRDefault="0058332F" w:rsidP="00384E74">
      <w:pPr>
        <w:pStyle w:val="Heading1"/>
      </w:pPr>
      <w:bookmarkStart w:id="2" w:name="_Toc498290130"/>
      <w:r>
        <w:t>Results</w:t>
      </w:r>
      <w:bookmarkEnd w:id="2"/>
    </w:p>
    <w:p w:rsidR="00B828F4" w:rsidRDefault="00C95374" w:rsidP="00C609F0">
      <w:pPr>
        <w:ind w:left="720"/>
      </w:pPr>
      <w:r>
        <w:t xml:space="preserve">The results of the analysis were a model which predicts the purchase of a service contract using Brand, Product Group, MSRP of the appliance, Offer Price of the service contract, and 5 principal components of the census data. </w:t>
      </w:r>
    </w:p>
    <w:p w:rsidR="00C609F0" w:rsidRDefault="00C609F0" w:rsidP="0062245A">
      <w:pPr>
        <w:ind w:left="720"/>
      </w:pPr>
      <w:r>
        <w:t>It is important to note that all values in the regression are from the base variable. Bran</w:t>
      </w:r>
      <w:r w:rsidR="0062245A">
        <w:t xml:space="preserve">d results are compared to Average Brand A. Product Group variables are compared to Washers. Offer Price is compared to a service contract of $60. To see how much more likely someone is to buy a contract use the odds ratio in Appendix B. </w:t>
      </w:r>
    </w:p>
    <w:p w:rsidR="0062245A" w:rsidRDefault="0062245A" w:rsidP="0062245A">
      <w:pPr>
        <w:pStyle w:val="Heading3"/>
        <w:ind w:firstLine="720"/>
      </w:pPr>
      <w:bookmarkStart w:id="3" w:name="_Toc498290131"/>
      <w:r>
        <w:t>Brand Effects:</w:t>
      </w:r>
      <w:bookmarkEnd w:id="3"/>
    </w:p>
    <w:p w:rsidR="0062245A" w:rsidRDefault="0062245A" w:rsidP="0062245A">
      <w:pPr>
        <w:ind w:left="720"/>
      </w:pPr>
      <w:r>
        <w:t>Likelihood of buying a service contract relative to reference Average Brand A:</w:t>
      </w:r>
    </w:p>
    <w:p w:rsidR="0062245A" w:rsidRDefault="0062245A" w:rsidP="0062245A">
      <w:pPr>
        <w:pStyle w:val="ListParagraph"/>
        <w:numPr>
          <w:ilvl w:val="0"/>
          <w:numId w:val="1"/>
        </w:numPr>
      </w:pPr>
      <w:r>
        <w:t>+ 16.9% for Premium Brand A</w:t>
      </w:r>
    </w:p>
    <w:p w:rsidR="0062245A" w:rsidRDefault="0062245A" w:rsidP="0062245A">
      <w:pPr>
        <w:pStyle w:val="ListParagraph"/>
        <w:numPr>
          <w:ilvl w:val="0"/>
          <w:numId w:val="1"/>
        </w:numPr>
      </w:pPr>
      <w:r>
        <w:t>+ 5.4% for Average Brand B</w:t>
      </w:r>
    </w:p>
    <w:p w:rsidR="0062245A" w:rsidRDefault="0062245A" w:rsidP="0062245A">
      <w:pPr>
        <w:pStyle w:val="ListParagraph"/>
        <w:numPr>
          <w:ilvl w:val="0"/>
          <w:numId w:val="1"/>
        </w:numPr>
      </w:pPr>
      <w:r>
        <w:t>+ 2.2% for Premium Brand B</w:t>
      </w:r>
    </w:p>
    <w:p w:rsidR="0062245A" w:rsidRDefault="0062245A" w:rsidP="0062245A">
      <w:pPr>
        <w:pStyle w:val="Heading3"/>
      </w:pPr>
      <w:r>
        <w:tab/>
      </w:r>
      <w:bookmarkStart w:id="4" w:name="_Toc498290132"/>
      <w:r>
        <w:t>Product Group Effects:</w:t>
      </w:r>
      <w:bookmarkEnd w:id="4"/>
    </w:p>
    <w:p w:rsidR="0062245A" w:rsidRDefault="0062245A" w:rsidP="0062245A">
      <w:pPr>
        <w:ind w:left="720"/>
      </w:pPr>
      <w:r>
        <w:t>Likelihood of buying a service contract relative to reference product group Washing Machines:</w:t>
      </w:r>
    </w:p>
    <w:p w:rsidR="0062245A" w:rsidRDefault="009A6458" w:rsidP="0062245A">
      <w:pPr>
        <w:pStyle w:val="ListParagraph"/>
        <w:numPr>
          <w:ilvl w:val="0"/>
          <w:numId w:val="2"/>
        </w:numPr>
      </w:pPr>
      <w:r>
        <w:t>+</w:t>
      </w:r>
      <w:r w:rsidR="0062245A">
        <w:t>1</w:t>
      </w:r>
      <w:r>
        <w:t>5</w:t>
      </w:r>
      <w:r w:rsidR="0062245A">
        <w:t>% for Ice Makers</w:t>
      </w:r>
    </w:p>
    <w:p w:rsidR="0062245A" w:rsidRDefault="009A6458" w:rsidP="0062245A">
      <w:pPr>
        <w:pStyle w:val="ListParagraph"/>
        <w:numPr>
          <w:ilvl w:val="0"/>
          <w:numId w:val="2"/>
        </w:numPr>
      </w:pPr>
      <w:r>
        <w:t>-28</w:t>
      </w:r>
      <w:r w:rsidR="0062245A">
        <w:t>% for Stacked Laundry</w:t>
      </w:r>
    </w:p>
    <w:p w:rsidR="0062245A" w:rsidRDefault="0062245A" w:rsidP="0062245A">
      <w:pPr>
        <w:pStyle w:val="ListParagraph"/>
        <w:numPr>
          <w:ilvl w:val="0"/>
          <w:numId w:val="2"/>
        </w:numPr>
      </w:pPr>
      <w:r>
        <w:t>-</w:t>
      </w:r>
      <w:r w:rsidR="009A6458">
        <w:t>30</w:t>
      </w:r>
      <w:r>
        <w:t>% for Freezer</w:t>
      </w:r>
    </w:p>
    <w:p w:rsidR="009A6458" w:rsidRDefault="009A6458" w:rsidP="009A6458">
      <w:pPr>
        <w:pStyle w:val="ListParagraph"/>
        <w:numPr>
          <w:ilvl w:val="0"/>
          <w:numId w:val="2"/>
        </w:numPr>
      </w:pPr>
      <w:r>
        <w:t>… etc, see Appendix B</w:t>
      </w:r>
    </w:p>
    <w:p w:rsidR="009A6458" w:rsidRDefault="009A6458" w:rsidP="0062245A">
      <w:pPr>
        <w:pStyle w:val="ListParagraph"/>
        <w:numPr>
          <w:ilvl w:val="0"/>
          <w:numId w:val="2"/>
        </w:numPr>
      </w:pPr>
      <w:r>
        <w:t>-65% for Cooktop</w:t>
      </w:r>
    </w:p>
    <w:p w:rsidR="009A6458" w:rsidRDefault="009A6458" w:rsidP="0062245A">
      <w:pPr>
        <w:pStyle w:val="ListParagraph"/>
        <w:numPr>
          <w:ilvl w:val="0"/>
          <w:numId w:val="2"/>
        </w:numPr>
      </w:pPr>
      <w:r>
        <w:t>-67% for Range Hood</w:t>
      </w:r>
    </w:p>
    <w:p w:rsidR="009A6458" w:rsidRDefault="009A6458" w:rsidP="0062245A">
      <w:pPr>
        <w:pStyle w:val="ListParagraph"/>
        <w:numPr>
          <w:ilvl w:val="0"/>
          <w:numId w:val="2"/>
        </w:numPr>
      </w:pPr>
      <w:r>
        <w:t>-74% for Air Conditioners</w:t>
      </w:r>
    </w:p>
    <w:p w:rsidR="00CD555B" w:rsidRDefault="00CD555B" w:rsidP="00CD555B">
      <w:pPr>
        <w:pStyle w:val="Heading3"/>
        <w:ind w:left="720"/>
      </w:pPr>
      <w:bookmarkStart w:id="5" w:name="_Toc498290133"/>
      <w:r>
        <w:lastRenderedPageBreak/>
        <w:t>MSRP Effects:</w:t>
      </w:r>
      <w:bookmarkEnd w:id="5"/>
    </w:p>
    <w:p w:rsidR="00CD555B" w:rsidRDefault="00CD555B" w:rsidP="00CD555B">
      <w:r>
        <w:tab/>
        <w:t>MSRP was not a major effect in determining the odds of a sale.</w:t>
      </w:r>
    </w:p>
    <w:p w:rsidR="00CD555B" w:rsidRDefault="00CD555B" w:rsidP="00CD555B">
      <w:pPr>
        <w:pStyle w:val="Heading3"/>
      </w:pPr>
      <w:r>
        <w:tab/>
      </w:r>
      <w:bookmarkStart w:id="6" w:name="_Toc498290134"/>
      <w:r>
        <w:t>Offer Price Effects:</w:t>
      </w:r>
      <w:bookmarkEnd w:id="6"/>
    </w:p>
    <w:p w:rsidR="00CD555B" w:rsidRDefault="00CD555B" w:rsidP="00CD555B">
      <w:r>
        <w:tab/>
        <w:t>Likelihood of buying a $70 contract was 11% higher than that of buying a $60 contract.</w:t>
      </w:r>
    </w:p>
    <w:p w:rsidR="00CD555B" w:rsidRDefault="00CD555B" w:rsidP="00CD555B">
      <w:pPr>
        <w:pStyle w:val="Heading3"/>
        <w:ind w:firstLine="720"/>
      </w:pPr>
      <w:bookmarkStart w:id="7" w:name="_Toc498290135"/>
      <w:r>
        <w:t>Census Data Effects:</w:t>
      </w:r>
      <w:bookmarkEnd w:id="7"/>
    </w:p>
    <w:p w:rsidR="00CD555B" w:rsidRPr="00CD555B" w:rsidRDefault="00CD555B" w:rsidP="00CD555B">
      <w:pPr>
        <w:ind w:left="720"/>
      </w:pPr>
      <w:r>
        <w:t>A unit change in principal component 2 (PC2) had a +22% effect on likelihood of buying a contract.</w:t>
      </w:r>
      <w:r w:rsidR="00F1512F">
        <w:t xml:space="preserve"> </w:t>
      </w:r>
      <w:r w:rsidR="006C7D3D">
        <w:t xml:space="preserve">The other principal components had a much lower impact per unit change. PC5 had the second most with 5% effect per unit change. PC1,3,4 had less than 2.7% effect on the odds per unit change. </w:t>
      </w:r>
      <w:r w:rsidR="00F1512F">
        <w:t>The top 10 features in each component are located in Appendix C.</w:t>
      </w:r>
    </w:p>
    <w:p w:rsidR="009A6458" w:rsidRDefault="00CD555B" w:rsidP="00CD555B">
      <w:r>
        <w:tab/>
        <w:t xml:space="preserve">PC2 is categorized by a customer being from a census block with: </w:t>
      </w:r>
    </w:p>
    <w:p w:rsidR="00CD555B" w:rsidRDefault="00F1512F" w:rsidP="00CD555B">
      <w:pPr>
        <w:pStyle w:val="ListParagraph"/>
        <w:numPr>
          <w:ilvl w:val="0"/>
          <w:numId w:val="3"/>
        </w:numPr>
      </w:pPr>
      <w:r>
        <w:t>Less households (Family households and Single Households were both negative)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Less white people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Less units in detached buildings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Less expensive rent prices (over $1000)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Less cheap rent prices (less than $500 or less than $200)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Less married people</w:t>
      </w:r>
    </w:p>
    <w:p w:rsidR="00F1512F" w:rsidRDefault="00F1512F" w:rsidP="00CD555B">
      <w:pPr>
        <w:pStyle w:val="ListParagraph"/>
        <w:numPr>
          <w:ilvl w:val="0"/>
          <w:numId w:val="3"/>
        </w:numPr>
      </w:pPr>
      <w:r>
        <w:t>Lower percentage of men</w:t>
      </w:r>
    </w:p>
    <w:p w:rsidR="00F1512F" w:rsidRDefault="00F1512F" w:rsidP="00F1512F">
      <w:pPr>
        <w:ind w:left="720"/>
      </w:pPr>
      <w:r>
        <w:t>In other words</w:t>
      </w:r>
      <w:r w:rsidR="00A93D2F">
        <w:t xml:space="preserve"> PC2 has a lot of</w:t>
      </w:r>
      <w:r>
        <w:t xml:space="preserve"> census </w:t>
      </w:r>
      <w:r w:rsidR="00A93D2F">
        <w:t>block areas that are more rural, have higher than average percentages of minorities, or have more single women.</w:t>
      </w:r>
      <w:r>
        <w:t xml:space="preserve"> </w:t>
      </w:r>
    </w:p>
    <w:p w:rsidR="00E42815" w:rsidRDefault="00E42815" w:rsidP="00E42815">
      <w:pPr>
        <w:pStyle w:val="Heading3"/>
        <w:ind w:firstLine="720"/>
      </w:pPr>
      <w:bookmarkStart w:id="8" w:name="_Toc498290136"/>
      <w:r>
        <w:t>Performance Curves</w:t>
      </w:r>
      <w:bookmarkEnd w:id="8"/>
    </w:p>
    <w:p w:rsidR="00E42815" w:rsidRDefault="00E42815" w:rsidP="00E42815">
      <w:r>
        <w:tab/>
      </w:r>
      <w:r>
        <w:rPr>
          <w:noProof/>
        </w:rPr>
        <w:drawing>
          <wp:inline distT="0" distB="0" distL="0" distR="0" wp14:anchorId="0897CAD3" wp14:editId="465E8B7D">
            <wp:extent cx="2506406" cy="219149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889" cy="22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1ADBB" wp14:editId="3492D492">
            <wp:extent cx="2501111" cy="218686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908" cy="22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15" w:rsidRPr="00E42815" w:rsidRDefault="00921D66" w:rsidP="00921D66">
      <w:pPr>
        <w:ind w:left="720"/>
      </w:pPr>
      <w:r>
        <w:t>Area Under the Curve is</w:t>
      </w:r>
      <w:r w:rsidR="00E42815">
        <w:t xml:space="preserve"> 60.7%</w:t>
      </w:r>
      <w:r>
        <w:t xml:space="preserve"> which indicates the probability that a positive sale value will be ranked before a negative/failed sale value.</w:t>
      </w:r>
      <w:r w:rsidR="00C5145B">
        <w:t xml:space="preserve"> This value is poor, but higher than fail. </w:t>
      </w:r>
      <w:bookmarkStart w:id="9" w:name="_GoBack"/>
      <w:bookmarkEnd w:id="9"/>
    </w:p>
    <w:p w:rsidR="00E42815" w:rsidRDefault="00E42815" w:rsidP="00E42815">
      <w:pPr>
        <w:pStyle w:val="Heading1"/>
      </w:pPr>
      <w:bookmarkStart w:id="10" w:name="_Toc498290137"/>
      <w:r>
        <w:t>Recommendations:</w:t>
      </w:r>
      <w:bookmarkEnd w:id="10"/>
    </w:p>
    <w:p w:rsidR="00BC41EA" w:rsidRDefault="00F0793C" w:rsidP="00BC41EA">
      <w:pPr>
        <w:ind w:left="720"/>
      </w:pPr>
      <w:r>
        <w:t>This model is useful for generating</w:t>
      </w:r>
      <w:r w:rsidR="00BC41EA">
        <w:t xml:space="preserve"> predictions of the probability that a mailing will result in a sale. Depending on the number of mailers that are going to be sent out, it generates lift of between 1 and 2. Of the data included, the gains begin to fall off at slightly less than 50% of the mailers that were sent out. </w:t>
      </w:r>
    </w:p>
    <w:p w:rsidR="00C95374" w:rsidRDefault="00BC41EA" w:rsidP="00BC41EA">
      <w:pPr>
        <w:ind w:left="720"/>
      </w:pPr>
      <w:r>
        <w:lastRenderedPageBreak/>
        <w:t xml:space="preserve"> Further analysis could be performed to break the model groups into more specific product details. However, this would require time investment to clean up those data fields. </w:t>
      </w:r>
    </w:p>
    <w:p w:rsidR="00B012FE" w:rsidRDefault="00C95374" w:rsidP="00C95374">
      <w:pPr>
        <w:pStyle w:val="Heading1"/>
      </w:pPr>
      <w:bookmarkStart w:id="11" w:name="_Toc498290138"/>
      <w:r>
        <w:t>Appendix A: Logistic Regression Model</w:t>
      </w:r>
      <w:bookmarkEnd w:id="11"/>
    </w:p>
    <w:p w:rsidR="00C95374" w:rsidRDefault="00C95374" w:rsidP="00C95374">
      <w:r>
        <w:rPr>
          <w:noProof/>
        </w:rPr>
        <w:drawing>
          <wp:inline distT="0" distB="0" distL="0" distR="0" wp14:anchorId="4DD039B6" wp14:editId="0086BA49">
            <wp:extent cx="5943600" cy="460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74" w:rsidRDefault="00C95374" w:rsidP="00C95374">
      <w:r>
        <w:br w:type="page"/>
      </w:r>
    </w:p>
    <w:p w:rsidR="00C95374" w:rsidRDefault="00C95374" w:rsidP="00C95374">
      <w:pPr>
        <w:pStyle w:val="Heading1"/>
      </w:pPr>
      <w:bookmarkStart w:id="12" w:name="_Toc498290139"/>
      <w:r>
        <w:lastRenderedPageBreak/>
        <w:t>Appendix B: Odds Ratios</w:t>
      </w:r>
      <w:bookmarkEnd w:id="12"/>
    </w:p>
    <w:p w:rsidR="00C95374" w:rsidRDefault="009A6458" w:rsidP="00C95374">
      <w:r>
        <w:rPr>
          <w:noProof/>
        </w:rPr>
        <w:drawing>
          <wp:inline distT="0" distB="0" distL="0" distR="0" wp14:anchorId="1C450BF9" wp14:editId="49EE7350">
            <wp:extent cx="44005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A1" w:rsidRDefault="004232A1" w:rsidP="00C95374"/>
    <w:p w:rsidR="004232A1" w:rsidRDefault="004232A1" w:rsidP="004232A1">
      <w:pPr>
        <w:pStyle w:val="Heading1"/>
      </w:pPr>
      <w:bookmarkStart w:id="13" w:name="_Toc498290140"/>
      <w:r>
        <w:t xml:space="preserve">Appendix C: PCA </w:t>
      </w:r>
      <w:r w:rsidR="00792FE3">
        <w:t xml:space="preserve">Top 10 </w:t>
      </w:r>
      <w:r w:rsidR="005D28BC">
        <w:t>Contributors</w:t>
      </w:r>
      <w:r w:rsidR="00792FE3">
        <w:t xml:space="preserve"> by Component</w:t>
      </w:r>
      <w:bookmarkEnd w:id="13"/>
    </w:p>
    <w:p w:rsidR="004232A1" w:rsidRPr="004232A1" w:rsidRDefault="004232A1" w:rsidP="004232A1">
      <w:r>
        <w:rPr>
          <w:noProof/>
        </w:rPr>
        <w:drawing>
          <wp:inline distT="0" distB="0" distL="0" distR="0" wp14:anchorId="623C282B" wp14:editId="3C5C18E7">
            <wp:extent cx="5943600" cy="111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A1" w:rsidRPr="0042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B4AB3"/>
    <w:multiLevelType w:val="hybridMultilevel"/>
    <w:tmpl w:val="00ECA03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CCA5C9A"/>
    <w:multiLevelType w:val="hybridMultilevel"/>
    <w:tmpl w:val="A95CD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0D2170"/>
    <w:multiLevelType w:val="hybridMultilevel"/>
    <w:tmpl w:val="E21E1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2F"/>
    <w:rsid w:val="00041410"/>
    <w:rsid w:val="00061DE5"/>
    <w:rsid w:val="000A1A3F"/>
    <w:rsid w:val="000F4688"/>
    <w:rsid w:val="000F6A75"/>
    <w:rsid w:val="00157F6D"/>
    <w:rsid w:val="00164717"/>
    <w:rsid w:val="001977C5"/>
    <w:rsid w:val="00213FE2"/>
    <w:rsid w:val="0024121B"/>
    <w:rsid w:val="0025476A"/>
    <w:rsid w:val="00272E46"/>
    <w:rsid w:val="002F43A4"/>
    <w:rsid w:val="0032572F"/>
    <w:rsid w:val="00384E74"/>
    <w:rsid w:val="003E1638"/>
    <w:rsid w:val="003F4822"/>
    <w:rsid w:val="004232A1"/>
    <w:rsid w:val="004E037E"/>
    <w:rsid w:val="005043AC"/>
    <w:rsid w:val="0053557A"/>
    <w:rsid w:val="00544395"/>
    <w:rsid w:val="0058332F"/>
    <w:rsid w:val="0059508B"/>
    <w:rsid w:val="005D28BC"/>
    <w:rsid w:val="005D426A"/>
    <w:rsid w:val="005E5D7C"/>
    <w:rsid w:val="00604387"/>
    <w:rsid w:val="0062245A"/>
    <w:rsid w:val="006454C0"/>
    <w:rsid w:val="006679D0"/>
    <w:rsid w:val="006C08A3"/>
    <w:rsid w:val="006C7D3D"/>
    <w:rsid w:val="006F3E58"/>
    <w:rsid w:val="006F5BD6"/>
    <w:rsid w:val="00730905"/>
    <w:rsid w:val="007311F9"/>
    <w:rsid w:val="0074525C"/>
    <w:rsid w:val="0075518A"/>
    <w:rsid w:val="00785D6C"/>
    <w:rsid w:val="00792FE3"/>
    <w:rsid w:val="007B3D51"/>
    <w:rsid w:val="007C1123"/>
    <w:rsid w:val="007C5ACE"/>
    <w:rsid w:val="007D7FED"/>
    <w:rsid w:val="00800365"/>
    <w:rsid w:val="00826A54"/>
    <w:rsid w:val="00854B65"/>
    <w:rsid w:val="00872D01"/>
    <w:rsid w:val="00890C45"/>
    <w:rsid w:val="008B5382"/>
    <w:rsid w:val="008C1C9B"/>
    <w:rsid w:val="008D7313"/>
    <w:rsid w:val="00903B77"/>
    <w:rsid w:val="00921D66"/>
    <w:rsid w:val="00936BAB"/>
    <w:rsid w:val="00987CFA"/>
    <w:rsid w:val="00992148"/>
    <w:rsid w:val="009A6458"/>
    <w:rsid w:val="009D7205"/>
    <w:rsid w:val="00A67ABD"/>
    <w:rsid w:val="00A93D2F"/>
    <w:rsid w:val="00AA68D8"/>
    <w:rsid w:val="00AC3200"/>
    <w:rsid w:val="00AD53E1"/>
    <w:rsid w:val="00AF78AF"/>
    <w:rsid w:val="00B012FE"/>
    <w:rsid w:val="00B040C9"/>
    <w:rsid w:val="00B1440E"/>
    <w:rsid w:val="00B22758"/>
    <w:rsid w:val="00B32F3E"/>
    <w:rsid w:val="00B80D79"/>
    <w:rsid w:val="00B81E9E"/>
    <w:rsid w:val="00B828F4"/>
    <w:rsid w:val="00BB49FD"/>
    <w:rsid w:val="00BC41EA"/>
    <w:rsid w:val="00C1558B"/>
    <w:rsid w:val="00C2752B"/>
    <w:rsid w:val="00C5145B"/>
    <w:rsid w:val="00C53CC1"/>
    <w:rsid w:val="00C609F0"/>
    <w:rsid w:val="00C8521B"/>
    <w:rsid w:val="00C86CED"/>
    <w:rsid w:val="00C95374"/>
    <w:rsid w:val="00C96639"/>
    <w:rsid w:val="00CA7FF2"/>
    <w:rsid w:val="00CD555B"/>
    <w:rsid w:val="00D620D5"/>
    <w:rsid w:val="00D733C8"/>
    <w:rsid w:val="00DE189A"/>
    <w:rsid w:val="00DE765D"/>
    <w:rsid w:val="00DF288D"/>
    <w:rsid w:val="00E227AA"/>
    <w:rsid w:val="00E42815"/>
    <w:rsid w:val="00E53364"/>
    <w:rsid w:val="00E72372"/>
    <w:rsid w:val="00E7773A"/>
    <w:rsid w:val="00E91205"/>
    <w:rsid w:val="00EB732E"/>
    <w:rsid w:val="00ED4F98"/>
    <w:rsid w:val="00F0793C"/>
    <w:rsid w:val="00F1512F"/>
    <w:rsid w:val="00F1526B"/>
    <w:rsid w:val="00F32CC7"/>
    <w:rsid w:val="00F42860"/>
    <w:rsid w:val="00F700E5"/>
    <w:rsid w:val="00F87BDD"/>
    <w:rsid w:val="00FC10E2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CD41"/>
  <w15:chartTrackingRefBased/>
  <w15:docId w15:val="{8FC08DC0-5813-4B10-BFC9-7ABC186A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3B7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0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E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4E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E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4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84E7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84E74"/>
    <w:pPr>
      <w:spacing w:after="100"/>
      <w:ind w:left="44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D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012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22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AD98-0479-4094-9604-FC08C6FE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Sampson</dc:creator>
  <cp:keywords/>
  <dc:description/>
  <cp:lastModifiedBy>Adam Sampson</cp:lastModifiedBy>
  <cp:revision>77</cp:revision>
  <dcterms:created xsi:type="dcterms:W3CDTF">2017-07-23T13:36:00Z</dcterms:created>
  <dcterms:modified xsi:type="dcterms:W3CDTF">2017-11-13T03:54:00Z</dcterms:modified>
</cp:coreProperties>
</file>