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Falcon Proposal</w:t>
      </w:r>
    </w:p>
    <w:p>
      <w:pPr>
        <w:pStyle w:val="Heading1"/>
      </w:pPr>
      <w:r>
        <w:t xml:space="preserve">Background</w:t>
      </w:r>
    </w:p>
    <w:p>
      <w:r>
        <w:t xml:space="preserve">This proposal describes a </w:t>
      </w:r>
      <w:r>
        <w:rPr>
          <w:b/>
          <w:bCs/>
        </w:rPr>
        <w:t xml:space="preserve">faster</w:t>
      </w:r>
      <w:r>
        <w:t xml:space="preserve"> and </w:t>
      </w:r>
      <w:r>
        <w:rPr>
          <w:i/>
          <w:iCs/>
        </w:rPr>
        <w:t xml:space="preserve">cheaper</w:t>
      </w:r>
      <w:r>
        <w:t xml:space="preserve"> way to ship parcels. </w:t>
      </w:r>
      <w:r>
        <w:rPr>
          <w:color w:val="C00000"/>
        </w:rPr>
        <w:t xml:space="preserve">Red text marks open questions.</w:t>
      </w:r>
    </w:p>
    <w:p>
      <w:pPr>
        <w:pStyle w:val="ListParagraph"/>
        <w:numPr>
          <w:ilvl w:val="0"/>
          <w:numId w:val="1"/>
        </w:numPr>
      </w:pPr>
      <w:r>
        <w:t xml:space="preserve">Lower fuel costs</w:t>
      </w:r>
    </w:p>
    <w:p>
      <w:pPr>
        <w:pStyle w:val="ListParagraph"/>
        <w:numPr>
          <w:ilvl w:val="0"/>
          <w:numId w:val="1"/>
        </w:numPr>
      </w:pPr>
      <w:r>
        <w:t xml:space="preserve">Fewer handovers</w:t>
      </w:r>
    </w:p>
    <w:p>
      <w:pPr>
        <w:pStyle w:val="ListParagraph"/>
        <w:numPr>
          <w:ilvl w:val="1"/>
          <w:numId w:val="1"/>
        </w:numPr>
      </w:pPr>
      <w:r>
        <w:t xml:space="preserve">Tracked end to end</w:t>
      </w:r>
    </w:p>
    <w:p>
      <w:pPr>
        <w:pStyle w:val="ListParagraph"/>
        <w:numPr>
          <w:ilvl w:val="0"/>
          <w:numId w:val="2"/>
        </w:numPr>
      </w:pPr>
      <w:r>
        <w:t xml:space="preserve">Pilot in two cities</w:t>
      </w:r>
    </w:p>
    <w:p>
      <w:pPr>
        <w:pStyle w:val="ListParagraph"/>
        <w:numPr>
          <w:ilvl w:val="0"/>
          <w:numId w:val="2"/>
        </w:numPr>
      </w:pPr>
      <w:r>
        <w:t xml:space="preserve">Measure delivery times</w:t>
      </w:r>
    </w:p>
    <w:p>
      <w:pPr>
        <w:pStyle w:val="Heading2"/>
      </w:pPr>
      <w:r>
        <w:t xml:space="preserve">Budget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shd w:fill="1F4E79" w:color="auto" w:val="clear"/>
          </w:tcPr>
          <w:p>
            <w:r>
              <w:rPr>
                <w:b/>
                <w:bCs/>
                <w:color w:val="FFFFFF"/>
              </w:rPr>
              <w:t xml:space="preserve">Item</w:t>
            </w:r>
          </w:p>
        </w:tc>
        <w:tc>
          <w:tcPr>
            <w:tcW w:type="dxa" w:w="2400"/>
            <w:shd w:fill="1F4E79" w:color="auto" w:val="clear"/>
          </w:tcPr>
          <w:p>
            <w:r>
              <w:rPr>
                <w:b/>
                <w:bCs/>
                <w:color w:val="FFFFFF"/>
              </w:rPr>
              <w:t xml:space="preserve">Q1</w:t>
            </w:r>
          </w:p>
        </w:tc>
        <w:tc>
          <w:tcPr>
            <w:tcW w:type="dxa" w:w="2400"/>
            <w:shd w:fill="1F4E79" w:color="auto" w:val="clear"/>
          </w:tcPr>
          <w:p>
            <w:r>
              <w:rPr>
                <w:b/>
                <w:bCs/>
                <w:color w:val="FFFFFF"/>
              </w:rPr>
              <w:t xml:space="preserve">Q2</w:t>
            </w:r>
          </w:p>
        </w:tc>
        <w:tc>
          <w:tcPr>
            <w:tcW w:type="dxa" w:w="2400"/>
            <w:shd w:fill="1F4E79" w:color="auto" w:val="clear"/>
          </w:tcPr>
          <w:p>
            <w:r>
              <w:rPr>
                <w:b/>
                <w:bCs/>
                <w:color w:val="FFFFFF"/>
              </w:rPr>
              <w:t xml:space="preserve">Total</w:t>
            </w:r>
          </w:p>
        </w:tc>
      </w:tr>
      <w:tr>
        <w:tc>
          <w:tcPr>
            <w:tcW w:type="dxa" w:w="2400"/>
          </w:tcPr>
          <w:p>
            <w:r>
              <w:t xml:space="preserve">Vans</w:t>
            </w:r>
          </w:p>
        </w:tc>
        <w:tc>
          <w:tcPr>
            <w:tcW w:type="dxa" w:w="2400"/>
          </w:tcPr>
          <w:p>
            <w:r>
              <w:t xml:space="preserve">12,000</w:t>
            </w:r>
          </w:p>
        </w:tc>
        <w:tc>
          <w:tcPr>
            <w:tcW w:type="dxa" w:w="2400"/>
          </w:tcPr>
          <w:p>
            <w:r>
              <w:t xml:space="preserve">8,000</w:t>
            </w:r>
          </w:p>
        </w:tc>
        <w:tc>
          <w:tcPr>
            <w:tcW w:type="dxa" w:w="2400"/>
          </w:tcPr>
          <w:p>
            <w:r>
              <w:t xml:space="preserve">20,000</w:t>
            </w:r>
          </w:p>
        </w:tc>
      </w:tr>
      <w:tr>
        <w:tc>
          <w:tcPr>
            <w:tcW w:type="dxa" w:w="2400"/>
          </w:tcPr>
          <w:p>
            <w:r>
              <w:t xml:space="preserve">Staff</w:t>
            </w:r>
          </w:p>
        </w:tc>
        <w:tc>
          <w:tcPr>
            <w:tcW w:type="dxa" w:w="2400"/>
          </w:tcPr>
          <w:p>
            <w:r>
              <w:t xml:space="preserve">30,500</w:t>
            </w:r>
          </w:p>
        </w:tc>
        <w:tc>
          <w:tcPr>
            <w:tcW w:type="dxa" w:w="2400"/>
          </w:tcPr>
          <w:p>
            <w:r>
              <w:t xml:space="preserve">31,000</w:t>
            </w:r>
          </w:p>
        </w:tc>
        <w:tc>
          <w:tcPr>
            <w:tcW w:type="dxa" w:w="2400"/>
          </w:tcPr>
          <w:p>
            <w:r>
              <w:t xml:space="preserve">61,500</w:t>
            </w:r>
          </w:p>
        </w:tc>
      </w:tr>
      <w:tr>
        <w:tc>
          <w:tcPr>
            <w:tcW w:type="dxa" w:w="2400"/>
          </w:tcPr>
          <w:p>
            <w:r>
              <w:t xml:space="preserve">Software</w:t>
            </w:r>
          </w:p>
        </w:tc>
        <w:tc>
          <w:tcPr>
            <w:tcW w:type="dxa" w:w="2400"/>
          </w:tcPr>
          <w:p>
            <w:r>
              <w:t xml:space="preserve">4,200</w:t>
            </w:r>
          </w:p>
        </w:tc>
        <w:tc>
          <w:tcPr>
            <w:tcW w:type="dxa" w:w="2400"/>
          </w:tcPr>
          <w:p>
            <w:r>
              <w:t xml:space="preserve">1,100</w:t>
            </w:r>
          </w:p>
        </w:tc>
        <w:tc>
          <w:tcPr>
            <w:tcW w:type="dxa" w:w="2400"/>
          </w:tcPr>
          <w:p>
            <w:r>
              <w:t xml:space="preserve">5,300</w:t>
            </w:r>
          </w:p>
        </w:tc>
      </w:tr>
    </w:tbl>
    <w:p>
      <w:pPr>
        <w:spacing w:before="240"/>
        <w:jc w:val="center"/>
      </w:pPr>
      <w:r>
        <w:drawing>
          <wp:inline distT="0" distB="0" distL="0" distR="0">
            <wp:extent cx="4000500" cy="21717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171700"/>
                    </a:xfrm>
                    <a:prstGeom prst="rect">
                      <a:avLst/>
                    </a:prstGeom>
                  </pic:spPr>
                </pic:pic>
              </a:graphicData>
            </a:graphic>
          </wp:inline>
        </w:drawing>
      </w:r>
    </w:p>
    <w:p>
      <w:pPr>
        <w:jc w:val="center"/>
      </w:pPr>
      <w:r>
        <w:rPr>
          <w:i/>
          <w:iCs/>
          <w:sz w:val="18"/>
          <w:szCs w:val="18"/>
        </w:rPr>
        <w:t xml:space="preserve">Figure 1: Parcels per day</w:t>
      </w:r>
    </w:p>
    <w:p>
      <w:r>
        <w:br w:type="page"/>
      </w:r>
    </w:p>
    <w:p>
      <w:pPr>
        <w:pStyle w:val="Heading1"/>
      </w:pPr>
      <w:r>
        <w:t xml:space="preserve">Timeline</w:t>
      </w:r>
    </w:p>
    <w:p>
      <w:pPr>
        <w:jc w:val="both"/>
      </w:pPr>
      <w:r>
        <w:t xml:space="preserve">Week 1.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2.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3.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4.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5.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6.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7.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8.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9.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10.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11.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12.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13.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14.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15.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16.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17.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18.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19.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20.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21.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22.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23.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24.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25.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26.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27.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28.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29. Quarterly revenue grew across every region, led by strong demand for the new subscription plans. Operating costs stayed flat while headcount rose slightly, so margins improved for the third quarter in a row. The board approved the expansion budget for next year.</w:t>
      </w:r>
    </w:p>
    <w:p>
      <w:pPr>
        <w:jc w:val="both"/>
      </w:pPr>
      <w:r>
        <w:t xml:space="preserve">Week 30. Quarterly revenue grew across every region, led by strong demand for the new subscription plans. Operating costs stayed flat while headcount rose slightly, so margins improved for the third quarter in a row. The board approved the expansion budget for next year.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footer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Project Falcon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c0d8e9dca8bca913701ded73ad5a3f86744b1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2026-10-27T11:49:30.459Z</dcterms:created>
  <dcterms:modified xsi:type="dcterms:W3CDTF">2026-10-27T11:49:30.459Z</dcterms:modified>
</cp:coreProperties>
</file>

<file path=docProps/custom.xml><?xml version="1.0" encoding="utf-8"?>
<Properties xmlns="http://schemas.openxmlformats.org/officeDocument/2006/custom-properties" xmlns:vt="http://schemas.openxmlformats.org/officeDocument/2006/docPropsVTypes"/>
</file>