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1D57FC" wp14:paraId="3E5D305A" wp14:textId="0D044EC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41D57FC" w:rsidR="7A90A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Date:</w:t>
      </w:r>
      <w:r w:rsidRPr="341D57FC" w:rsidR="7A90A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1st June 2035</w:t>
      </w:r>
      <w:r>
        <w:br/>
      </w:r>
      <w:r w:rsidRPr="341D57FC" w:rsidR="7A90A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41D57FC" w:rsidR="7A90A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To:</w:t>
      </w:r>
      <w:r w:rsidRPr="341D57FC" w:rsidR="7A90A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Jordan Michaels, Director of Digital Strategy</w:t>
      </w:r>
      <w:r>
        <w:br/>
      </w:r>
      <w:r w:rsidRPr="341D57FC" w:rsidR="7A90A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41D57FC" w:rsidR="7A90A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From:</w:t>
      </w:r>
      <w:r w:rsidRPr="341D57FC" w:rsidR="7A90A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Adam Elshanawany, Senior Project Manager</w:t>
      </w:r>
      <w:r>
        <w:br/>
      </w:r>
      <w:r w:rsidRPr="341D57FC" w:rsidR="7A90A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41D57FC" w:rsidR="7A90A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Subject:</w:t>
      </w:r>
      <w:r w:rsidRPr="341D57FC" w:rsidR="7A90AB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Re. Decision Science</w:t>
      </w:r>
    </w:p>
    <w:p xmlns:wp14="http://schemas.microsoft.com/office/word/2010/wordml" w:rsidP="341D57FC" wp14:paraId="44877FFB" wp14:textId="3782CC95">
      <w:pPr>
        <w:spacing w:before="240" w:beforeAutospacing="off" w:after="240" w:afterAutospacing="off" w:line="480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As someone who now leads multiple teams overseeing the development of enterprise-scale digital solutions,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I’ve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found that decision science plays a more </w:t>
      </w:r>
      <w:r w:rsidRPr="341D57FC" w:rsidR="5FA45B39">
        <w:rPr>
          <w:rFonts w:ascii="Arial" w:hAnsi="Arial" w:eastAsia="Arial" w:cs="Arial"/>
          <w:noProof w:val="0"/>
          <w:sz w:val="24"/>
          <w:szCs w:val="24"/>
          <w:lang w:val="en-US"/>
        </w:rPr>
        <w:t>significant role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 my day-to-day work than I might have originally expected. While much of my role involves technical oversight</w:t>
      </w:r>
      <w:r w:rsidRPr="341D57FC" w:rsidR="4998F37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approving proposed architectures, weighing trade-offs in tech stacks, and assessing timelines—the human element is just as </w:t>
      </w:r>
      <w:r w:rsidRPr="341D57FC" w:rsidR="04C823B0">
        <w:rPr>
          <w:rFonts w:ascii="Arial" w:hAnsi="Arial" w:eastAsia="Arial" w:cs="Arial"/>
          <w:noProof w:val="0"/>
          <w:sz w:val="24"/>
          <w:szCs w:val="24"/>
          <w:lang w:val="en-US"/>
        </w:rPr>
        <w:t>important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Decision-making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isn't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bookmarkStart w:name="_Int_2y44rog9" w:id="3770751"/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just about logic</w:t>
      </w:r>
      <w:bookmarkEnd w:id="3770751"/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or speed;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it’s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about framing, communication, and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anticipating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how others will respond under uncertainty.</w:t>
      </w:r>
    </w:p>
    <w:p xmlns:wp14="http://schemas.microsoft.com/office/word/2010/wordml" w:rsidP="341D57FC" wp14:paraId="6237B790" wp14:textId="3C91F769">
      <w:pPr>
        <w:spacing w:before="240" w:beforeAutospacing="off" w:after="240" w:afterAutospacing="off" w:line="480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For example, when evaluating risks in a new project launch,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I’ve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noticed how important it is to frame potential outcomes in terms of gains rather than losses—especially when presenting options to clients or stakeholders. Drawing on the principles of prospect theory, I try to reduce loss aversion by anchoring the conversation around expected value and forward progress rather than fallback scenarios. </w:t>
      </w:r>
      <w:r w:rsidRPr="341D57FC" w:rsidR="4E8465CC">
        <w:rPr>
          <w:rFonts w:ascii="Arial" w:hAnsi="Arial" w:eastAsia="Arial" w:cs="Arial"/>
          <w:noProof w:val="0"/>
          <w:sz w:val="24"/>
          <w:szCs w:val="24"/>
          <w:lang w:val="en-US"/>
        </w:rPr>
        <w:t>These framing effects have helped secure buy-in and support team morale during periods of scope change or tight deadlines.</w:t>
      </w:r>
    </w:p>
    <w:p xmlns:wp14="http://schemas.microsoft.com/office/word/2010/wordml" w:rsidP="341D57FC" wp14:paraId="211B13E7" wp14:textId="1AF3EFFB">
      <w:pPr>
        <w:spacing w:before="240" w:beforeAutospacing="off" w:after="240" w:afterAutospacing="off" w:line="480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Risk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perception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is another area where decision science has become unexpectedly relevant. Internally, when </w:t>
      </w:r>
      <w:r w:rsidRPr="341D57FC" w:rsidR="699CFCC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distinguishing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high-priority tickets or making platform-wide configuration changes, </w:t>
      </w:r>
      <w:r w:rsidRPr="341D57FC" w:rsidR="35D63B9C">
        <w:rPr>
          <w:rFonts w:ascii="Arial" w:hAnsi="Arial" w:eastAsia="Arial" w:cs="Arial"/>
          <w:noProof w:val="0"/>
          <w:sz w:val="24"/>
          <w:szCs w:val="24"/>
          <w:lang w:val="en-US"/>
        </w:rPr>
        <w:t>I have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learned that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how we communicate the likelihood of failure (or success) changes how urgently people act—even when the data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remains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constant.</w:t>
      </w:r>
      <w:r w:rsidRPr="341D57FC" w:rsidR="4AFDAB7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This links directly to what I studied about natural frequencies and the use of absolute vs. relative risks. I find myself reframing metrics not just to simplify them, but to make sure they are </w:t>
      </w:r>
      <w:r w:rsidRPr="341D57FC" w:rsidR="7A90AB9F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intuitively understood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by everyone in the room.</w:t>
      </w:r>
    </w:p>
    <w:p xmlns:wp14="http://schemas.microsoft.com/office/word/2010/wordml" w:rsidP="341D57FC" wp14:paraId="582B49C3" wp14:textId="6DFC683D">
      <w:pPr>
        <w:spacing w:before="240" w:beforeAutospacing="off" w:after="240" w:afterAutospacing="off" w:line="480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On the managerial side,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I’ve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also become more attuned to the dual-process model of thinking. Not everyone processes risk or priority the same way. Some teammates thrive on gut-based, System 1 reasoning, while others need the slow, methodical clarity of System 2. As a result,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I've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shifted how I assign work and deliver updates—sometimes going for quick summaries and other times building detailed roadmaps and justifications to satisfy different cognitive styles.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It's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subtle, but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it's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made a real difference in productivity and team cohesion.</w:t>
      </w:r>
    </w:p>
    <w:p xmlns:wp14="http://schemas.microsoft.com/office/word/2010/wordml" w:rsidP="341D57FC" wp14:paraId="7B993685" wp14:textId="29F80880">
      <w:pPr>
        <w:spacing w:before="240" w:beforeAutospacing="off" w:after="240" w:afterAutospacing="off" w:line="480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All of this is to say that decision science is not just a theory I learned in a college course—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it’s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something I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live through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 the field every day. And 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>I’m</w:t>
      </w:r>
      <w:r w:rsidRPr="341D57FC" w:rsidR="7A90AB9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realizing that as our projects grow in scale and complexity, understanding how people think, decide, and respond to uncertainty might just be one of the most technical skills I bring to the table.</w:t>
      </w:r>
    </w:p>
    <w:p xmlns:wp14="http://schemas.microsoft.com/office/word/2010/wordml" w:rsidP="341D57FC" wp14:paraId="2C078E63" wp14:textId="2F230813">
      <w:pPr>
        <w:spacing w:line="480" w:lineRule="auto"/>
        <w:rPr>
          <w:rFonts w:ascii="Arial" w:hAnsi="Arial" w:eastAsia="Arial" w:cs="Arial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2y44rog9" int2:invalidationBookmarkName="" int2:hashCode="W5MOCDkvarRNM9" int2:id="VOB0eneU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7580FC"/>
    <w:rsid w:val="0454C629"/>
    <w:rsid w:val="04C823B0"/>
    <w:rsid w:val="187187B8"/>
    <w:rsid w:val="207580FC"/>
    <w:rsid w:val="20ED5E49"/>
    <w:rsid w:val="25D47FBB"/>
    <w:rsid w:val="341D57FC"/>
    <w:rsid w:val="35D63B9C"/>
    <w:rsid w:val="4998F377"/>
    <w:rsid w:val="4AFDAB72"/>
    <w:rsid w:val="4E8465CC"/>
    <w:rsid w:val="5FA45B39"/>
    <w:rsid w:val="659FEBEF"/>
    <w:rsid w:val="699CFCCB"/>
    <w:rsid w:val="7A90A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580FC"/>
  <w15:chartTrackingRefBased/>
  <w15:docId w15:val="{3D9DF4C8-D17E-45DB-84FF-EBD8B9E810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250c125c0324c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2025-06-19T16:45:12.5769988Z</dcterms:created>
  <dcterms:modified xsi:type="dcterms:W3CDTF">2025-06-20T14:36:15.0998396Z</dcterms:modified>
  <dc:creator>Adam Elshanawany</dc:creator>
  <lastModifiedBy>Adam Elshanawany</lastModifiedBy>
</coreProperties>
</file>