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widowControl/>
      </w:pPr>
      <w:r>
        <w:t>2024 Energy Security Index</w:t>
      </w:r>
    </w:p>
    <w:p>
      <w:pPr>
        <w:jc w:val="center"/>
        <w:widowControl/>
      </w:pPr>
      <w:r>
        <w:rPr>
          <w:b/>
          <w:sz w:val="22"/>
        </w:rPr>
        <w:t>Current methodology and detailed United Kingdom worked example</w:t>
      </w:r>
    </w:p>
    <w:p>
      <w:pPr>
        <w:spacing w:after="100" w:line="252" w:lineRule="auto"/>
        <w:widowControl/>
      </w:pPr>
      <w:r>
        <w:t>Purpose. The index measures four dimensions of national energy security: dispatchable/non-variable electricity supply, diversity of the overall energy mix, security of energy imports, and economic purchasing capacity. Each component is scored on a 0–100 scale and receives an equal 25% weight in the final index.</w:t>
      </w:r>
    </w:p>
    <w:p>
      <w:pPr>
        <w:pStyle w:val="Heading1"/>
        <w:keepNext/>
        <w:widowControl/>
      </w:pPr>
      <w:r>
        <w:t>Step 1 - Non-Wind/Solar Generation Share</w:t>
      </w:r>
    </w:p>
    <w:p>
      <w:pPr>
        <w:spacing w:after="100" w:line="252" w:lineRule="auto"/>
        <w:widowControl/>
      </w:pPr>
      <w:r>
        <w:t>Step 1 measures the share of total electricity net generation supplied by sources other than wind and solar. All other EIA-reported generation sources, including hydroelectricity, nuclear, coal, natural gas, petroleum, geothermal, biomass, waste, and other residual sources, receive full weight in the numerator. Total net generation remains the denominator, so wind and solar are fully represented there even though they are excluded from the numerator.</w:t>
      </w:r>
    </w:p>
    <w:p>
      <w:pPr>
        <w:spacing w:before="80" w:after="100"/>
        <w:jc w:val="center"/>
        <w:widowControl/>
      </w:pPr>
      <w:r>
        <w:t>Step 1 = 100 × (Total Net Generation − Wind − Solar) / Total Net Generation</w:t>
      </w:r>
    </w:p>
    <w:p>
      <w:pPr>
        <w:spacing w:after="120"/>
        <w:widowControl/>
      </w:pPr>
      <w:r>
        <w:rPr>
          <w:b/>
        </w:rPr>
        <w:t xml:space="preserve">Data: </w:t>
      </w:r>
      <w:hyperlink r:id="rId9">
        <w:r>
          <w:rPr>
            <w:color w:val="0563C1"/>
            <w:u w:val="single"/>
          </w:rPr>
          <w:t>EIA International electricity data</w:t>
        </w:r>
      </w:hyperlink>
      <w:r>
        <w:t xml:space="preserve">  |  </w:t>
      </w:r>
      <w:hyperlink r:id="rId10">
        <w:r>
          <w:rPr>
            <w:color w:val="0563C1"/>
            <w:u w:val="single"/>
          </w:rPr>
          <w:t>EIA Open Data bulk downloads</w:t>
        </w:r>
      </w:hyperlink>
    </w:p>
    <w:p>
      <w:pPr>
        <w:pStyle w:val="Heading1"/>
        <w:keepNext/>
        <w:widowControl/>
      </w:pPr>
      <w:r>
        <w:t>Step 2 - Energy-Source Diversity</w:t>
      </w:r>
    </w:p>
    <w:p>
      <w:pPr>
        <w:spacing w:after="100" w:line="252" w:lineRule="auto"/>
        <w:widowControl/>
      </w:pPr>
      <w:r>
        <w:t>Step 2 measures the diversity of total primary-energy consumption across five mutually exclusive EIA categories: petroleum and other liquids, natural gas, coal, nuclear, and renewables &amp; other. Each category is converted into a share of the five-category total and the Herfindahl-Hirschman Index (HHI) is calculated from the squared shares. Because the minimum possible HHI with five equally weighted categories is 0.20, the score is normalized so a perfectly even five-source mix scores 100 and complete concentration in one source scores 0.</w:t>
      </w:r>
    </w:p>
    <w:p>
      <w:pPr>
        <w:spacing w:before="80" w:after="100"/>
        <w:jc w:val="center"/>
        <w:widowControl/>
      </w:pPr>
      <w:r>
        <w:rPr>
          <w:rFonts w:ascii="Cambria Math" w:hAnsi="Cambria Math"/>
          <w:sz w:val="21"/>
        </w:rPr>
        <w:t>HHI = Σ sᵢ²</w:t>
      </w:r>
    </w:p>
    <w:p>
      <w:pPr>
        <w:spacing w:before="80" w:after="100"/>
        <w:jc w:val="center"/>
        <w:widowControl/>
      </w:pPr>
      <w:r>
        <w:rPr>
          <w:rFonts w:ascii="Cambria Math" w:hAnsi="Cambria Math"/>
          <w:sz w:val="21"/>
        </w:rPr>
        <w:t>Step 2 = 100 × (1 − HHI) / (1 − 0.20)</w:t>
      </w:r>
    </w:p>
    <w:p>
      <w:pPr>
        <w:spacing w:after="120"/>
        <w:widowControl/>
      </w:pPr>
      <w:r>
        <w:rPr>
          <w:b/>
        </w:rPr>
        <w:t xml:space="preserve">Data: </w:t>
      </w:r>
      <w:hyperlink r:id="rId11">
        <w:r>
          <w:rPr>
            <w:color w:val="0563C1"/>
            <w:u w:val="single"/>
          </w:rPr>
          <w:t>EIA International energy data</w:t>
        </w:r>
      </w:hyperlink>
      <w:r>
        <w:t xml:space="preserve">  |  </w:t>
      </w:r>
      <w:hyperlink r:id="rId10">
        <w:r>
          <w:rPr>
            <w:color w:val="0563C1"/>
            <w:u w:val="single"/>
          </w:rPr>
          <w:t>EIA Open Data bulk downloads</w:t>
        </w:r>
      </w:hyperlink>
    </w:p>
    <w:p>
      <w:pPr>
        <w:pStyle w:val="Heading1"/>
        <w:keepNext/>
        <w:widowControl/>
      </w:pPr>
      <w:r>
        <w:t>Step 3 - Import Security</w:t>
      </w:r>
    </w:p>
    <w:p>
      <w:pPr>
        <w:spacing w:after="100" w:line="252" w:lineRule="auto"/>
        <w:widowControl/>
      </w:pPr>
      <w:r>
        <w:t>Step 3 measures vulnerability to foreign energy supply. Net import dependence is calculated from EIA total primary-energy consumption and production; UN Comtrade bilateral imports determine partner concentration and supplier weights; and 2024 World Bank WGI Political Stability scores measure both domestic stability and the import-weighted stability of suppliers. Countries with no net import dependence receive a score of 100 because I = 0; otherwise, dependence is multiplied by a risk factor reflecting concentration and political instability.</w:t>
      </w:r>
    </w:p>
    <w:p>
      <w:pPr>
        <w:spacing w:before="80" w:after="100"/>
        <w:jc w:val="center"/>
        <w:widowControl/>
      </w:pPr>
      <w:r>
        <w:rPr>
          <w:rFonts w:ascii="Cambria Math" w:hAnsi="Cambria Math"/>
          <w:sz w:val="21"/>
        </w:rPr>
        <w:t>I = max[0, min(1, (Consumption − Production) / Consumption)]</w:t>
      </w:r>
    </w:p>
    <w:p>
      <w:pPr>
        <w:spacing w:before="80" w:after="100"/>
        <w:jc w:val="center"/>
        <w:widowControl/>
      </w:pPr>
      <w:r>
        <w:rPr>
          <w:rFonts w:ascii="Cambria Math" w:hAnsi="Cambria Math"/>
          <w:sz w:val="21"/>
        </w:rPr>
        <w:t>H = Σ sⱼ²     |     D = Domestic WGI / 100     |     S = Σ(sⱼ × Dⱼ)</w:t>
      </w:r>
    </w:p>
    <w:p>
      <w:pPr>
        <w:spacing w:before="80" w:after="100"/>
        <w:jc w:val="center"/>
        <w:widowControl/>
      </w:pPr>
      <w:r>
        <w:rPr>
          <w:rFonts w:ascii="Cambria Math" w:hAnsi="Cambria Math"/>
          <w:sz w:val="21"/>
        </w:rPr>
        <w:t>Step 3 = 100 × [1 − I × (0.50 + 0.20H + 0.15(1 − D) + 0.15(1 − S))]</w:t>
      </w:r>
    </w:p>
    <w:p>
      <w:pPr>
        <w:spacing w:after="100" w:line="252" w:lineRule="auto"/>
        <w:widowControl/>
      </w:pPr>
      <w:r>
        <w:t>The bilateral Comtrade basket uses parent HS codes 2701, 2702, 2703, 2704, 2705, 2709, 2710, 2711, 2713, 2716, and 3826. Inclusion in the final index requires at least 90% identifiable bilateral-partner coverage and at least 90% supplier-WGI coverage.</w:t>
      </w:r>
    </w:p>
    <w:p>
      <w:pPr>
        <w:spacing w:after="120"/>
        <w:widowControl/>
      </w:pPr>
      <w:r>
        <w:rPr>
          <w:b/>
        </w:rPr>
        <w:t xml:space="preserve">Data: </w:t>
      </w:r>
      <w:hyperlink r:id="rId12">
        <w:r>
          <w:rPr>
            <w:color w:val="0563C1"/>
            <w:u w:val="single"/>
          </w:rPr>
          <w:t>UN Comtrade Trade Data</w:t>
        </w:r>
      </w:hyperlink>
      <w:r>
        <w:t xml:space="preserve">  |  </w:t>
      </w:r>
      <w:hyperlink r:id="rId13">
        <w:r>
          <w:rPr>
            <w:color w:val="0563C1"/>
            <w:u w:val="single"/>
          </w:rPr>
          <w:t>World Bank WGI Political Stability (0–100)</w:t>
        </w:r>
      </w:hyperlink>
      <w:r>
        <w:t xml:space="preserve">  |  </w:t>
      </w:r>
      <w:hyperlink r:id="rId14">
        <w:r>
          <w:rPr>
            <w:color w:val="0563C1"/>
            <w:u w:val="single"/>
          </w:rPr>
          <w:t>World Bank WGI catalog</w:t>
        </w:r>
      </w:hyperlink>
      <w:r>
        <w:t xml:space="preserve">  |  </w:t>
      </w:r>
      <w:hyperlink r:id="rId11">
        <w:r>
          <w:rPr>
            <w:color w:val="0563C1"/>
            <w:u w:val="single"/>
          </w:rPr>
          <w:t>EIA International energy data</w:t>
        </w:r>
      </w:hyperlink>
    </w:p>
    <w:p>
      <w:pPr>
        <w:pStyle w:val="Heading1"/>
        <w:keepNext/>
        <w:widowControl/>
      </w:pPr>
      <w:r>
        <w:t>Step 4 - Economic Purchasing Capacity</w:t>
      </w:r>
    </w:p>
    <w:p>
      <w:pPr>
        <w:spacing w:after="100" w:line="252" w:lineRule="auto"/>
        <w:widowControl/>
      </w:pPr>
      <w:r>
        <w:t>Step 4 uses nominal GDP per capita in current U.S. dollars as a proxy for citizens' ability to absorb elevated energy prices during a crisis. The raw cross-country distribution is highly skewed, so GDP per capita is transformed logarithmically and min-max normalized to a 0–100 scale. The transformation preserves the GDP-per-capita ordering while distributing scores more evenly across countries.</w:t>
      </w:r>
    </w:p>
    <w:p>
      <w:pPr>
        <w:spacing w:before="80" w:after="100"/>
        <w:jc w:val="center"/>
        <w:widowControl/>
      </w:pPr>
      <w:r>
        <w:rPr>
          <w:rFonts w:ascii="Cambria Math" w:hAnsi="Cambria Math"/>
          <w:sz w:val="21"/>
        </w:rPr>
        <w:t>Step 4ᵢ = 100 × [ln(GDPpcᵢ) − ln(GDPpcₘᵢₙ)] / [ln(GDPpcₘₐₓ) − ln(GDPpcₘᵢₙ)]</w:t>
      </w:r>
    </w:p>
    <w:p>
      <w:pPr>
        <w:spacing w:after="120"/>
        <w:widowControl/>
      </w:pPr>
      <w:r>
        <w:rPr>
          <w:b/>
        </w:rPr>
        <w:t xml:space="preserve">Data: </w:t>
      </w:r>
      <w:hyperlink r:id="rId15">
        <w:r>
          <w:rPr>
            <w:color w:val="0563C1"/>
            <w:u w:val="single"/>
          </w:rPr>
          <w:t>World Bank GDP per capita (current US$)</w:t>
        </w:r>
      </w:hyperlink>
    </w:p>
    <w:p>
      <w:pPr>
        <w:pStyle w:val="Heading1"/>
        <w:keepNext/>
        <w:widowControl/>
      </w:pPr>
      <w:r>
        <w:t>Overall Index</w:t>
      </w:r>
    </w:p>
    <w:p>
      <w:pPr>
        <w:spacing w:after="100" w:line="252" w:lineRule="auto"/>
        <w:widowControl/>
      </w:pPr>
      <w:r>
        <w:t>The final Energy Security Index is the simple arithmetic mean of the four component scores, so each component receives a 25% weight. The current 2024 universe contains 112 countries/economies with complete data and that meet the Step 3 coverage thresholds.</w:t>
      </w:r>
    </w:p>
    <w:p>
      <w:pPr>
        <w:spacing w:before="80" w:after="100"/>
        <w:jc w:val="center"/>
        <w:widowControl/>
      </w:pPr>
      <w:r>
        <w:rPr>
          <w:rFonts w:ascii="Cambria Math" w:hAnsi="Cambria Math"/>
          <w:sz w:val="21"/>
        </w:rPr>
        <w:t>Overall Index = (Step 1 + Step 2 + Step 3 + Step 4) / 4</w:t>
      </w:r>
    </w:p>
    <w:p>
      <w:pPr>
        <w:pStyle w:val="Heading1"/>
        <w:keepNext/>
        <w:widowControl/>
      </w:pPr>
      <w:r>
        <w:t>Worked Example - United Kingdom (2024)</w:t>
      </w:r>
    </w:p>
    <w:p>
      <w:pPr>
        <w:spacing w:after="100" w:line="252" w:lineRule="auto"/>
        <w:widowControl/>
      </w:pPr>
      <w:r>
        <w:t>The calculations below reproduce the exact United Kingdom values used in the current version of the 2024 index. Each step shows the source inputs, intermediate calculations, and final component score.</w:t>
      </w:r>
    </w:p>
    <w:p>
      <w:pPr>
        <w:spacing w:after="120"/>
        <w:widowControl/>
      </w:pPr>
      <w:r>
        <w:rPr>
          <w:b/>
        </w:rPr>
        <w:t xml:space="preserve">Data: </w:t>
      </w:r>
      <w:hyperlink r:id="rId11">
        <w:r>
          <w:rPr>
            <w:color w:val="0563C1"/>
            <w:u w:val="single"/>
          </w:rPr>
          <w:t>EIA International Energy</w:t>
        </w:r>
      </w:hyperlink>
      <w:r>
        <w:t xml:space="preserve">  |  </w:t>
      </w:r>
      <w:hyperlink r:id="rId12">
        <w:r>
          <w:rPr>
            <w:color w:val="0563C1"/>
            <w:u w:val="single"/>
          </w:rPr>
          <w:t>UN Comtrade</w:t>
        </w:r>
      </w:hyperlink>
      <w:r>
        <w:t xml:space="preserve">  |  </w:t>
      </w:r>
      <w:hyperlink r:id="rId13">
        <w:r>
          <w:rPr>
            <w:color w:val="0563C1"/>
            <w:u w:val="single"/>
          </w:rPr>
          <w:t>World Bank WGI</w:t>
        </w:r>
      </w:hyperlink>
      <w:r>
        <w:t xml:space="preserve">  |  </w:t>
      </w:r>
      <w:hyperlink r:id="rId15">
        <w:r>
          <w:rPr>
            <w:color w:val="0563C1"/>
            <w:u w:val="single"/>
          </w:rPr>
          <w:t>World Bank GDP per capita</w:t>
        </w:r>
      </w:hyperlink>
    </w:p>
    <w:p>
      <w:pPr>
        <w:pStyle w:val="Heading2"/>
        <w:keepNext/>
        <w:widowControl/>
      </w:pPr>
      <w:r>
        <w:t>UK Step 1 - Non-Wind/Solar Generation Share</w:t>
      </w:r>
    </w:p>
    <w:p>
      <w:pPr>
        <w:spacing w:after="100" w:line="252" w:lineRule="auto"/>
        <w:widowControl/>
      </w:pPr>
      <w:r>
        <w:t>The United Kingdom begins with total 2024 net electricity generation and removes wind and solar generation from the numerator. Hydroelectric generation and every other non-wind/non-solar source remain fully included in the numerator and denominator.</w:t>
      </w:r>
    </w:p>
    <w:tbl>
      <w:tblPr>
        <w:tblStyle w:val="TableGrid"/>
        <w:tblW w:type="auto" w:w="0"/>
        <w:jc w:val="center"/>
        <w:tblLook w:firstColumn="1" w:firstRow="1" w:lastColumn="0" w:lastRow="0" w:noHBand="0" w:noVBand="1" w:val="04A0"/>
      </w:tblPr>
      <w:tblGrid>
        <w:gridCol w:w="5141"/>
        <w:gridCol w:w="5141"/>
      </w:tblGrid>
      <w:tr>
        <w:tc>
          <w:tcPr>
            <w:tcW w:type="dxa" w:w="5040"/>
            <w:shd w:fill="D9EAF7"/>
            <w:vAlign w:val="center"/>
            <w:tcMar>
              <w:top w:w="80" w:type="dxa"/>
              <w:start w:w="80" w:type="dxa"/>
              <w:bottom w:w="80" w:type="dxa"/>
              <w:end w:w="80" w:type="dxa"/>
            </w:tcMar>
          </w:tcPr>
          <w:p>
            <w:r>
              <w:rPr>
                <w:b/>
                <w:sz w:val="18"/>
              </w:rPr>
              <w:t>Input</w:t>
            </w:r>
          </w:p>
        </w:tc>
        <w:tc>
          <w:tcPr>
            <w:tcW w:type="dxa" w:w="4320"/>
            <w:shd w:fill="D9EAF7"/>
            <w:vAlign w:val="center"/>
            <w:tcMar>
              <w:top w:w="80" w:type="dxa"/>
              <w:start w:w="80" w:type="dxa"/>
              <w:bottom w:w="80" w:type="dxa"/>
              <w:end w:w="80" w:type="dxa"/>
            </w:tcMar>
          </w:tcPr>
          <w:p>
            <w:r>
              <w:rPr>
                <w:b/>
                <w:sz w:val="18"/>
              </w:rPr>
              <w:t>2024 UK value</w:t>
            </w:r>
          </w:p>
        </w:tc>
      </w:tr>
      <w:tr>
        <w:tc>
          <w:tcPr>
            <w:tcW w:type="dxa" w:w="5040"/>
            <w:vAlign w:val="center"/>
            <w:tcMar>
              <w:top w:w="80" w:type="dxa"/>
              <w:start w:w="80" w:type="dxa"/>
              <w:bottom w:w="80" w:type="dxa"/>
              <w:end w:w="80" w:type="dxa"/>
            </w:tcMar>
          </w:tcPr>
          <w:p>
            <w:r>
              <w:rPr>
                <w:sz w:val="18"/>
              </w:rPr>
              <w:t>Total net electricity generation</w:t>
            </w:r>
          </w:p>
        </w:tc>
        <w:tc>
          <w:tcPr>
            <w:tcW w:type="dxa" w:w="4320"/>
            <w:vAlign w:val="center"/>
            <w:tcMar>
              <w:top w:w="80" w:type="dxa"/>
              <w:start w:w="80" w:type="dxa"/>
              <w:bottom w:w="80" w:type="dxa"/>
              <w:end w:w="80" w:type="dxa"/>
            </w:tcMar>
          </w:tcPr>
          <w:p>
            <w:r>
              <w:rPr>
                <w:sz w:val="18"/>
              </w:rPr>
              <w:t>267.980273578 billion kWh</w:t>
            </w:r>
          </w:p>
        </w:tc>
      </w:tr>
      <w:tr>
        <w:tc>
          <w:tcPr>
            <w:tcW w:type="dxa" w:w="5040"/>
            <w:vAlign w:val="center"/>
            <w:tcMar>
              <w:top w:w="80" w:type="dxa"/>
              <w:start w:w="80" w:type="dxa"/>
              <w:bottom w:w="80" w:type="dxa"/>
              <w:end w:w="80" w:type="dxa"/>
            </w:tcMar>
          </w:tcPr>
          <w:p>
            <w:r>
              <w:rPr>
                <w:sz w:val="18"/>
              </w:rPr>
              <w:t>Wind net generation</w:t>
            </w:r>
          </w:p>
        </w:tc>
        <w:tc>
          <w:tcPr>
            <w:tcW w:type="dxa" w:w="4320"/>
            <w:vAlign w:val="center"/>
            <w:tcMar>
              <w:top w:w="80" w:type="dxa"/>
              <w:start w:w="80" w:type="dxa"/>
              <w:bottom w:w="80" w:type="dxa"/>
              <w:end w:w="80" w:type="dxa"/>
            </w:tcMar>
          </w:tcPr>
          <w:p>
            <w:r>
              <w:rPr>
                <w:sz w:val="18"/>
              </w:rPr>
              <w:t>82.855029700 billion kWh</w:t>
            </w:r>
          </w:p>
        </w:tc>
      </w:tr>
      <w:tr>
        <w:tc>
          <w:tcPr>
            <w:tcW w:type="dxa" w:w="5040"/>
            <w:vAlign w:val="center"/>
            <w:tcMar>
              <w:top w:w="80" w:type="dxa"/>
              <w:start w:w="80" w:type="dxa"/>
              <w:bottom w:w="80" w:type="dxa"/>
              <w:end w:w="80" w:type="dxa"/>
            </w:tcMar>
          </w:tcPr>
          <w:p>
            <w:r>
              <w:rPr>
                <w:sz w:val="18"/>
              </w:rPr>
              <w:t>Solar net generation</w:t>
            </w:r>
          </w:p>
        </w:tc>
        <w:tc>
          <w:tcPr>
            <w:tcW w:type="dxa" w:w="4320"/>
            <w:vAlign w:val="center"/>
            <w:tcMar>
              <w:top w:w="80" w:type="dxa"/>
              <w:start w:w="80" w:type="dxa"/>
              <w:bottom w:w="80" w:type="dxa"/>
              <w:end w:w="80" w:type="dxa"/>
            </w:tcMar>
          </w:tcPr>
          <w:p>
            <w:r>
              <w:rPr>
                <w:sz w:val="18"/>
              </w:rPr>
              <w:t>14.795946800 billion kWh</w:t>
            </w:r>
          </w:p>
        </w:tc>
      </w:tr>
      <w:tr>
        <w:tc>
          <w:tcPr>
            <w:tcW w:type="dxa" w:w="5040"/>
            <w:vAlign w:val="center"/>
            <w:tcMar>
              <w:top w:w="80" w:type="dxa"/>
              <w:start w:w="80" w:type="dxa"/>
              <w:bottom w:w="80" w:type="dxa"/>
              <w:end w:w="80" w:type="dxa"/>
            </w:tcMar>
          </w:tcPr>
          <w:p>
            <w:r>
              <w:rPr>
                <w:sz w:val="18"/>
              </w:rPr>
              <w:t>Hydroelectric net generation</w:t>
            </w:r>
          </w:p>
        </w:tc>
        <w:tc>
          <w:tcPr>
            <w:tcW w:type="dxa" w:w="4320"/>
            <w:vAlign w:val="center"/>
            <w:tcMar>
              <w:top w:w="80" w:type="dxa"/>
              <w:start w:w="80" w:type="dxa"/>
              <w:bottom w:w="80" w:type="dxa"/>
              <w:end w:w="80" w:type="dxa"/>
            </w:tcMar>
          </w:tcPr>
          <w:p>
            <w:r>
              <w:rPr>
                <w:sz w:val="18"/>
              </w:rPr>
              <w:t>5.914003896 billion kWh</w:t>
            </w:r>
          </w:p>
        </w:tc>
      </w:tr>
    </w:tbl>
    <w:p>
      <w:pPr>
        <w:spacing w:after="100" w:line="252" w:lineRule="auto"/>
        <w:widowControl/>
      </w:pPr>
      <w:r>
        <w:t>Subtract wind and solar generation from total net generation:</w:t>
      </w:r>
    </w:p>
    <w:p>
      <w:pPr>
        <w:spacing w:before="80" w:after="100"/>
        <w:jc w:val="center"/>
        <w:widowControl/>
      </w:pPr>
      <w:r>
        <w:t>267.980273578 − 82.855029700 − 14.795946800 = 170.329297078 billion kWh</w:t>
      </w:r>
    </w:p>
    <w:p>
      <w:pPr>
        <w:spacing w:after="100" w:line="252" w:lineRule="auto"/>
        <w:widowControl/>
      </w:pPr>
      <w:r>
        <w:t>The result is the UK’s fully weighted non-wind/non-solar generation numerator:</w:t>
      </w:r>
    </w:p>
    <w:p>
      <w:pPr>
        <w:spacing w:before="80" w:after="100"/>
        <w:jc w:val="center"/>
        <w:widowControl/>
      </w:pPr>
      <w:r>
        <w:t>Numerator = 170.329297078 billion kWh</w:t>
      </w:r>
    </w:p>
    <w:p>
      <w:pPr>
        <w:spacing w:after="100" w:line="252" w:lineRule="auto"/>
        <w:widowControl/>
      </w:pPr>
      <w:r>
        <w:t>Now divide the numerator by total net generation:</w:t>
      </w:r>
    </w:p>
    <w:p>
      <w:pPr>
        <w:spacing w:before="80" w:after="100"/>
        <w:jc w:val="center"/>
        <w:widowControl/>
      </w:pPr>
      <w:r>
        <w:t>Step 1 = 100 × 170.329297078 / 267.980273578</w:t>
      </w:r>
    </w:p>
    <w:p>
      <w:pPr>
        <w:spacing w:after="100" w:line="252" w:lineRule="auto"/>
        <w:widowControl/>
      </w:pPr>
      <w:r>
        <w:t>Step 1 = 63.560386 ≈ 63.56 / 100</w:t>
      </w:r>
    </w:p>
    <w:p>
      <w:pPr>
        <w:spacing w:before="80" w:after="100"/>
        <w:jc w:val="center"/>
        <w:widowControl/>
      </w:pPr>
      <w:r>
        <w:t>Hydroelectric generation receives 100% weight in this formulation; only wind and solar are excluded from the numerator.</w:t>
      </w:r>
    </w:p>
    <w:p>
      <w:pPr>
        <w:spacing w:before="80" w:after="100"/>
        <w:jc w:val="center"/>
        <w:widowControl/>
      </w:pPr>
      <w:r>
        <w:t>This Step 1 score is the value used in the current 2024 index.</w:t>
      </w:r>
    </w:p>
    <w:p>
      <w:pPr>
        <w:pStyle w:val="Heading2"/>
        <w:keepNext/>
        <w:widowControl/>
      </w:pPr>
      <w:r>
        <w:t>UK Step 2 - Energy-Source Diversity</w:t>
      </w:r>
    </w:p>
    <w:p>
      <w:pPr>
        <w:spacing w:after="100" w:line="252" w:lineRule="auto"/>
        <w:widowControl/>
      </w:pPr>
      <w:r>
        <w:t>Step 2 uses 2024 EIA primary-energy consumption across the five source categories. The category values sum to approximately 6.410589 QBTU; each category is divided by that total to obtain a share.</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3600"/>
            <w:shd w:fill="D9EAF7"/>
            <w:vAlign w:val="center"/>
            <w:tcMar>
              <w:top w:w="80" w:type="dxa"/>
              <w:start w:w="80" w:type="dxa"/>
              <w:bottom w:w="80" w:type="dxa"/>
              <w:end w:w="80" w:type="dxa"/>
            </w:tcMar>
          </w:tcPr>
          <w:p>
            <w:r>
              <w:rPr>
                <w:b/>
                <w:sz w:val="18"/>
              </w:rPr>
              <w:t>Source</w:t>
            </w:r>
          </w:p>
        </w:tc>
        <w:tc>
          <w:tcPr>
            <w:tcW w:type="dxa" w:w="2160"/>
            <w:shd w:fill="D9EAF7"/>
            <w:vAlign w:val="center"/>
            <w:tcMar>
              <w:top w:w="80" w:type="dxa"/>
              <w:start w:w="80" w:type="dxa"/>
              <w:bottom w:w="80" w:type="dxa"/>
              <w:end w:w="80" w:type="dxa"/>
            </w:tcMar>
          </w:tcPr>
          <w:p>
            <w:r>
              <w:rPr>
                <w:b/>
                <w:sz w:val="18"/>
              </w:rPr>
              <w:t>Consumption (QBTU)</w:t>
            </w:r>
          </w:p>
        </w:tc>
        <w:tc>
          <w:tcPr>
            <w:tcW w:type="dxa" w:w="1728"/>
            <w:shd w:fill="D9EAF7"/>
            <w:vAlign w:val="center"/>
            <w:tcMar>
              <w:top w:w="80" w:type="dxa"/>
              <w:start w:w="80" w:type="dxa"/>
              <w:bottom w:w="80" w:type="dxa"/>
              <w:end w:w="80" w:type="dxa"/>
            </w:tcMar>
          </w:tcPr>
          <w:p>
            <w:r>
              <w:rPr>
                <w:b/>
                <w:sz w:val="18"/>
              </w:rPr>
              <w:t>Share</w:t>
            </w:r>
          </w:p>
        </w:tc>
        <w:tc>
          <w:tcPr>
            <w:tcW w:type="dxa" w:w="1728"/>
            <w:shd w:fill="D9EAF7"/>
            <w:vAlign w:val="center"/>
            <w:tcMar>
              <w:top w:w="80" w:type="dxa"/>
              <w:start w:w="80" w:type="dxa"/>
              <w:bottom w:w="80" w:type="dxa"/>
              <w:end w:w="80" w:type="dxa"/>
            </w:tcMar>
          </w:tcPr>
          <w:p>
            <w:r>
              <w:rPr>
                <w:b/>
                <w:sz w:val="18"/>
              </w:rPr>
              <w:t>Share²</w:t>
            </w:r>
          </w:p>
        </w:tc>
      </w:tr>
      <w:tr>
        <w:tc>
          <w:tcPr>
            <w:tcW w:type="dxa" w:w="3600"/>
            <w:vAlign w:val="center"/>
            <w:tcMar>
              <w:top w:w="80" w:type="dxa"/>
              <w:start w:w="80" w:type="dxa"/>
              <w:bottom w:w="80" w:type="dxa"/>
              <w:end w:w="80" w:type="dxa"/>
            </w:tcMar>
          </w:tcPr>
          <w:p>
            <w:r>
              <w:rPr>
                <w:sz w:val="18"/>
              </w:rPr>
              <w:t>Petroleum &amp; other liquids</w:t>
            </w:r>
          </w:p>
        </w:tc>
        <w:tc>
          <w:tcPr>
            <w:tcW w:type="dxa" w:w="2160"/>
            <w:vAlign w:val="center"/>
            <w:tcMar>
              <w:top w:w="80" w:type="dxa"/>
              <w:start w:w="80" w:type="dxa"/>
              <w:bottom w:w="80" w:type="dxa"/>
              <w:end w:w="80" w:type="dxa"/>
            </w:tcMar>
          </w:tcPr>
          <w:p>
            <w:r>
              <w:rPr>
                <w:sz w:val="18"/>
              </w:rPr>
              <w:t>2.854101</w:t>
            </w:r>
          </w:p>
        </w:tc>
        <w:tc>
          <w:tcPr>
            <w:tcW w:type="dxa" w:w="1728"/>
            <w:vAlign w:val="center"/>
            <w:tcMar>
              <w:top w:w="80" w:type="dxa"/>
              <w:start w:w="80" w:type="dxa"/>
              <w:bottom w:w="80" w:type="dxa"/>
              <w:end w:w="80" w:type="dxa"/>
            </w:tcMar>
          </w:tcPr>
          <w:p>
            <w:r>
              <w:rPr>
                <w:sz w:val="18"/>
              </w:rPr>
              <w:t>0.445217</w:t>
            </w:r>
          </w:p>
        </w:tc>
        <w:tc>
          <w:tcPr>
            <w:tcW w:type="dxa" w:w="1728"/>
            <w:vAlign w:val="center"/>
            <w:tcMar>
              <w:top w:w="80" w:type="dxa"/>
              <w:start w:w="80" w:type="dxa"/>
              <w:bottom w:w="80" w:type="dxa"/>
              <w:end w:w="80" w:type="dxa"/>
            </w:tcMar>
          </w:tcPr>
          <w:p>
            <w:r>
              <w:rPr>
                <w:sz w:val="18"/>
              </w:rPr>
              <w:t>0.198218</w:t>
            </w:r>
          </w:p>
        </w:tc>
      </w:tr>
      <w:tr>
        <w:tc>
          <w:tcPr>
            <w:tcW w:type="dxa" w:w="3600"/>
            <w:vAlign w:val="center"/>
            <w:tcMar>
              <w:top w:w="80" w:type="dxa"/>
              <w:start w:w="80" w:type="dxa"/>
              <w:bottom w:w="80" w:type="dxa"/>
              <w:end w:w="80" w:type="dxa"/>
            </w:tcMar>
          </w:tcPr>
          <w:p>
            <w:r>
              <w:rPr>
                <w:sz w:val="18"/>
              </w:rPr>
              <w:t>Natural gas</w:t>
            </w:r>
          </w:p>
        </w:tc>
        <w:tc>
          <w:tcPr>
            <w:tcW w:type="dxa" w:w="2160"/>
            <w:vAlign w:val="center"/>
            <w:tcMar>
              <w:top w:w="80" w:type="dxa"/>
              <w:start w:w="80" w:type="dxa"/>
              <w:bottom w:w="80" w:type="dxa"/>
              <w:end w:w="80" w:type="dxa"/>
            </w:tcMar>
          </w:tcPr>
          <w:p>
            <w:r>
              <w:rPr>
                <w:sz w:val="18"/>
              </w:rPr>
              <w:t>2.349032</w:t>
            </w:r>
          </w:p>
        </w:tc>
        <w:tc>
          <w:tcPr>
            <w:tcW w:type="dxa" w:w="1728"/>
            <w:vAlign w:val="center"/>
            <w:tcMar>
              <w:top w:w="80" w:type="dxa"/>
              <w:start w:w="80" w:type="dxa"/>
              <w:bottom w:w="80" w:type="dxa"/>
              <w:end w:w="80" w:type="dxa"/>
            </w:tcMar>
          </w:tcPr>
          <w:p>
            <w:r>
              <w:rPr>
                <w:sz w:val="18"/>
              </w:rPr>
              <w:t>0.366430</w:t>
            </w:r>
          </w:p>
        </w:tc>
        <w:tc>
          <w:tcPr>
            <w:tcW w:type="dxa" w:w="1728"/>
            <w:vAlign w:val="center"/>
            <w:tcMar>
              <w:top w:w="80" w:type="dxa"/>
              <w:start w:w="80" w:type="dxa"/>
              <w:bottom w:w="80" w:type="dxa"/>
              <w:end w:w="80" w:type="dxa"/>
            </w:tcMar>
          </w:tcPr>
          <w:p>
            <w:r>
              <w:rPr>
                <w:sz w:val="18"/>
              </w:rPr>
              <w:t>0.134271</w:t>
            </w:r>
          </w:p>
        </w:tc>
      </w:tr>
      <w:tr>
        <w:tc>
          <w:tcPr>
            <w:tcW w:type="dxa" w:w="3600"/>
            <w:vAlign w:val="center"/>
            <w:tcMar>
              <w:top w:w="80" w:type="dxa"/>
              <w:start w:w="80" w:type="dxa"/>
              <w:bottom w:w="80" w:type="dxa"/>
              <w:end w:w="80" w:type="dxa"/>
            </w:tcMar>
          </w:tcPr>
          <w:p>
            <w:r>
              <w:rPr>
                <w:sz w:val="18"/>
              </w:rPr>
              <w:t>Coal</w:t>
            </w:r>
          </w:p>
        </w:tc>
        <w:tc>
          <w:tcPr>
            <w:tcW w:type="dxa" w:w="2160"/>
            <w:vAlign w:val="center"/>
            <w:tcMar>
              <w:top w:w="80" w:type="dxa"/>
              <w:start w:w="80" w:type="dxa"/>
              <w:bottom w:w="80" w:type="dxa"/>
              <w:end w:w="80" w:type="dxa"/>
            </w:tcMar>
          </w:tcPr>
          <w:p>
            <w:r>
              <w:rPr>
                <w:sz w:val="18"/>
              </w:rPr>
              <w:t>0.057224</w:t>
            </w:r>
          </w:p>
        </w:tc>
        <w:tc>
          <w:tcPr>
            <w:tcW w:type="dxa" w:w="1728"/>
            <w:vAlign w:val="center"/>
            <w:tcMar>
              <w:top w:w="80" w:type="dxa"/>
              <w:start w:w="80" w:type="dxa"/>
              <w:bottom w:w="80" w:type="dxa"/>
              <w:end w:w="80" w:type="dxa"/>
            </w:tcMar>
          </w:tcPr>
          <w:p>
            <w:r>
              <w:rPr>
                <w:sz w:val="18"/>
              </w:rPr>
              <w:t>0.008927</w:t>
            </w:r>
          </w:p>
        </w:tc>
        <w:tc>
          <w:tcPr>
            <w:tcW w:type="dxa" w:w="1728"/>
            <w:vAlign w:val="center"/>
            <w:tcMar>
              <w:top w:w="80" w:type="dxa"/>
              <w:start w:w="80" w:type="dxa"/>
              <w:bottom w:w="80" w:type="dxa"/>
              <w:end w:w="80" w:type="dxa"/>
            </w:tcMar>
          </w:tcPr>
          <w:p>
            <w:r>
              <w:rPr>
                <w:sz w:val="18"/>
              </w:rPr>
              <w:t>0.000080</w:t>
            </w:r>
          </w:p>
        </w:tc>
      </w:tr>
      <w:tr>
        <w:tc>
          <w:tcPr>
            <w:tcW w:type="dxa" w:w="3600"/>
            <w:vAlign w:val="center"/>
            <w:tcMar>
              <w:top w:w="80" w:type="dxa"/>
              <w:start w:w="80" w:type="dxa"/>
              <w:bottom w:w="80" w:type="dxa"/>
              <w:end w:w="80" w:type="dxa"/>
            </w:tcMar>
          </w:tcPr>
          <w:p>
            <w:r>
              <w:rPr>
                <w:sz w:val="18"/>
              </w:rPr>
              <w:t>Nuclear</w:t>
            </w:r>
          </w:p>
        </w:tc>
        <w:tc>
          <w:tcPr>
            <w:tcW w:type="dxa" w:w="2160"/>
            <w:vAlign w:val="center"/>
            <w:tcMar>
              <w:top w:w="80" w:type="dxa"/>
              <w:start w:w="80" w:type="dxa"/>
              <w:bottom w:w="80" w:type="dxa"/>
              <w:end w:w="80" w:type="dxa"/>
            </w:tcMar>
          </w:tcPr>
          <w:p>
            <w:r>
              <w:rPr>
                <w:sz w:val="18"/>
              </w:rPr>
              <w:t>0.323222</w:t>
            </w:r>
          </w:p>
        </w:tc>
        <w:tc>
          <w:tcPr>
            <w:tcW w:type="dxa" w:w="1728"/>
            <w:vAlign w:val="center"/>
            <w:tcMar>
              <w:top w:w="80" w:type="dxa"/>
              <w:start w:w="80" w:type="dxa"/>
              <w:bottom w:w="80" w:type="dxa"/>
              <w:end w:w="80" w:type="dxa"/>
            </w:tcMar>
          </w:tcPr>
          <w:p>
            <w:r>
              <w:rPr>
                <w:sz w:val="18"/>
              </w:rPr>
              <w:t>0.050420</w:t>
            </w:r>
          </w:p>
        </w:tc>
        <w:tc>
          <w:tcPr>
            <w:tcW w:type="dxa" w:w="1728"/>
            <w:vAlign w:val="center"/>
            <w:tcMar>
              <w:top w:w="80" w:type="dxa"/>
              <w:start w:w="80" w:type="dxa"/>
              <w:bottom w:w="80" w:type="dxa"/>
              <w:end w:w="80" w:type="dxa"/>
            </w:tcMar>
          </w:tcPr>
          <w:p>
            <w:r>
              <w:rPr>
                <w:sz w:val="18"/>
              </w:rPr>
              <w:t>0.002542</w:t>
            </w:r>
          </w:p>
        </w:tc>
      </w:tr>
      <w:tr>
        <w:tc>
          <w:tcPr>
            <w:tcW w:type="dxa" w:w="3600"/>
            <w:vAlign w:val="center"/>
            <w:tcMar>
              <w:top w:w="80" w:type="dxa"/>
              <w:start w:w="80" w:type="dxa"/>
              <w:bottom w:w="80" w:type="dxa"/>
              <w:end w:w="80" w:type="dxa"/>
            </w:tcMar>
          </w:tcPr>
          <w:p>
            <w:r>
              <w:rPr>
                <w:sz w:val="18"/>
              </w:rPr>
              <w:t>Renewables &amp; other</w:t>
            </w:r>
          </w:p>
        </w:tc>
        <w:tc>
          <w:tcPr>
            <w:tcW w:type="dxa" w:w="2160"/>
            <w:vAlign w:val="center"/>
            <w:tcMar>
              <w:top w:w="80" w:type="dxa"/>
              <w:start w:w="80" w:type="dxa"/>
              <w:bottom w:w="80" w:type="dxa"/>
              <w:end w:w="80" w:type="dxa"/>
            </w:tcMar>
          </w:tcPr>
          <w:p>
            <w:r>
              <w:rPr>
                <w:sz w:val="18"/>
              </w:rPr>
              <w:t>0.827010</w:t>
            </w:r>
          </w:p>
        </w:tc>
        <w:tc>
          <w:tcPr>
            <w:tcW w:type="dxa" w:w="1728"/>
            <w:vAlign w:val="center"/>
            <w:tcMar>
              <w:top w:w="80" w:type="dxa"/>
              <w:start w:w="80" w:type="dxa"/>
              <w:bottom w:w="80" w:type="dxa"/>
              <w:end w:w="80" w:type="dxa"/>
            </w:tcMar>
          </w:tcPr>
          <w:p>
            <w:r>
              <w:rPr>
                <w:sz w:val="18"/>
              </w:rPr>
              <w:t>0.129007</w:t>
            </w:r>
          </w:p>
        </w:tc>
        <w:tc>
          <w:tcPr>
            <w:tcW w:type="dxa" w:w="1728"/>
            <w:vAlign w:val="center"/>
            <w:tcMar>
              <w:top w:w="80" w:type="dxa"/>
              <w:start w:w="80" w:type="dxa"/>
              <w:bottom w:w="80" w:type="dxa"/>
              <w:end w:w="80" w:type="dxa"/>
            </w:tcMar>
          </w:tcPr>
          <w:p>
            <w:r>
              <w:rPr>
                <w:sz w:val="18"/>
              </w:rPr>
              <w:t>0.016643</w:t>
            </w:r>
          </w:p>
        </w:tc>
      </w:tr>
    </w:tbl>
    <w:p>
      <w:pPr>
        <w:spacing w:after="100" w:line="252" w:lineRule="auto"/>
        <w:widowControl/>
      </w:pPr>
      <w:r>
        <w:t>For example, petroleum &amp; other liquids has the share:</w:t>
      </w:r>
    </w:p>
    <w:p>
      <w:pPr>
        <w:spacing w:before="80" w:after="100"/>
        <w:jc w:val="center"/>
        <w:widowControl/>
      </w:pPr>
      <w:r>
        <w:rPr>
          <w:rFonts w:ascii="Cambria Math" w:hAnsi="Cambria Math"/>
          <w:sz w:val="21"/>
        </w:rPr>
        <w:t>sₚₑₜ = 2.854101 / 6.410589 = 0.445217</w:t>
      </w:r>
    </w:p>
    <w:p>
      <w:pPr>
        <w:spacing w:after="100" w:line="252" w:lineRule="auto"/>
        <w:widowControl/>
      </w:pPr>
      <w:r>
        <w:t>Natural gas has the share:</w:t>
      </w:r>
    </w:p>
    <w:p>
      <w:pPr>
        <w:spacing w:before="80" w:after="100"/>
        <w:jc w:val="center"/>
        <w:widowControl/>
      </w:pPr>
      <w:r>
        <w:rPr>
          <w:rFonts w:ascii="Cambria Math" w:hAnsi="Cambria Math"/>
          <w:sz w:val="21"/>
        </w:rPr>
        <w:t>sgas = 2.349032 / 6.410589 = 0.366430</w:t>
      </w:r>
    </w:p>
    <w:p>
      <w:pPr>
        <w:spacing w:after="100" w:line="252" w:lineRule="auto"/>
        <w:widowControl/>
      </w:pPr>
      <w:r>
        <w:t>The HHI is the sum of the five squared shares:</w:t>
      </w:r>
    </w:p>
    <w:p>
      <w:pPr>
        <w:spacing w:before="80" w:after="100"/>
        <w:jc w:val="center"/>
        <w:widowControl/>
      </w:pPr>
      <w:r>
        <w:rPr>
          <w:rFonts w:ascii="Cambria Math" w:hAnsi="Cambria Math"/>
          <w:sz w:val="21"/>
        </w:rPr>
        <w:t>HHI = 0.198218 + 0.134271 + 0.000080 + 0.002542 + 0.016643</w:t>
      </w:r>
    </w:p>
    <w:p>
      <w:pPr>
        <w:spacing w:before="80" w:after="100"/>
        <w:jc w:val="center"/>
        <w:widowControl/>
      </w:pPr>
      <w:r>
        <w:rPr>
          <w:rFonts w:ascii="Cambria Math" w:hAnsi="Cambria Math"/>
          <w:sz w:val="21"/>
        </w:rPr>
        <w:t>HHI = 0.351753</w:t>
      </w:r>
    </w:p>
    <w:p>
      <w:pPr>
        <w:spacing w:after="100" w:line="252" w:lineRule="auto"/>
        <w:widowControl/>
      </w:pPr>
      <w:r>
        <w:t>Because a perfectly even five-source mix has HHI = 0.20, normalize the UK result over the feasible 0.20–1.00 range:</w:t>
      </w:r>
    </w:p>
    <w:p>
      <w:pPr>
        <w:spacing w:before="80" w:after="100"/>
        <w:jc w:val="center"/>
        <w:widowControl/>
      </w:pPr>
      <w:r>
        <w:rPr>
          <w:rFonts w:ascii="Cambria Math" w:hAnsi="Cambria Math"/>
          <w:sz w:val="21"/>
        </w:rPr>
        <w:t>Step 2 = 100 × (1 − 0.351753) / (1 − 0.20)</w:t>
      </w:r>
    </w:p>
    <w:p>
      <w:pPr>
        <w:spacing w:before="80" w:after="100"/>
        <w:jc w:val="center"/>
        <w:widowControl/>
      </w:pPr>
      <w:r>
        <w:rPr>
          <w:rFonts w:ascii="Cambria Math" w:hAnsi="Cambria Math"/>
          <w:sz w:val="21"/>
        </w:rPr>
        <w:t>Step 2 = 100 × 0.648247 / 0.80 = 81.030822 ≈ 81.03 / 100</w:t>
      </w:r>
    </w:p>
    <w:p>
      <w:pPr>
        <w:pStyle w:val="Heading2"/>
        <w:keepNext/>
        <w:widowControl/>
      </w:pPr>
      <w:r>
        <w:t>UK Step 3 - Import Security</w:t>
      </w:r>
    </w:p>
    <w:p>
      <w:pPr>
        <w:spacing w:after="100" w:line="252" w:lineRule="auto"/>
        <w:widowControl/>
      </w:pPr>
      <w:r>
        <w:t>Step 3 restores the full Import Security formulation. It combines the UK’s net import dependence with bilateral import concentration, domestic political stability, and the import-weighted political stability of the UK’s suppliers.</w:t>
      </w:r>
    </w:p>
    <w:tbl>
      <w:tblPr>
        <w:tblStyle w:val="TableGrid"/>
        <w:tblW w:type="auto" w:w="0"/>
        <w:jc w:val="center"/>
        <w:tblLook w:firstColumn="1" w:firstRow="1" w:lastColumn="0" w:lastRow="0" w:noHBand="0" w:noVBand="1" w:val="04A0"/>
      </w:tblPr>
      <w:tblGrid>
        <w:gridCol w:w="5141"/>
        <w:gridCol w:w="5141"/>
      </w:tblGrid>
      <w:tr>
        <w:tc>
          <w:tcPr>
            <w:tcW w:type="dxa" w:w="5040"/>
            <w:shd w:fill="D9EAF7"/>
            <w:vAlign w:val="center"/>
            <w:tcMar>
              <w:top w:w="80" w:type="dxa"/>
              <w:start w:w="80" w:type="dxa"/>
              <w:bottom w:w="80" w:type="dxa"/>
              <w:end w:w="80" w:type="dxa"/>
            </w:tcMar>
          </w:tcPr>
          <w:p>
            <w:r>
              <w:rPr>
                <w:b/>
                <w:sz w:val="18"/>
              </w:rPr>
              <w:t>Input</w:t>
            </w:r>
          </w:p>
        </w:tc>
        <w:tc>
          <w:tcPr>
            <w:tcW w:type="dxa" w:w="4320"/>
            <w:shd w:fill="D9EAF7"/>
            <w:vAlign w:val="center"/>
            <w:tcMar>
              <w:top w:w="80" w:type="dxa"/>
              <w:start w:w="80" w:type="dxa"/>
              <w:bottom w:w="80" w:type="dxa"/>
              <w:end w:w="80" w:type="dxa"/>
            </w:tcMar>
          </w:tcPr>
          <w:p>
            <w:r>
              <w:rPr>
                <w:b/>
                <w:sz w:val="18"/>
              </w:rPr>
              <w:t>UK 2024 value</w:t>
            </w:r>
          </w:p>
        </w:tc>
      </w:tr>
      <w:tr>
        <w:tc>
          <w:tcPr>
            <w:tcW w:type="dxa" w:w="5040"/>
            <w:vAlign w:val="center"/>
            <w:tcMar>
              <w:top w:w="80" w:type="dxa"/>
              <w:start w:w="80" w:type="dxa"/>
              <w:bottom w:w="80" w:type="dxa"/>
              <w:end w:w="80" w:type="dxa"/>
            </w:tcMar>
          </w:tcPr>
          <w:p>
            <w:r>
              <w:rPr>
                <w:sz w:val="18"/>
              </w:rPr>
              <w:t>Total primary-energy consumption</w:t>
            </w:r>
          </w:p>
        </w:tc>
        <w:tc>
          <w:tcPr>
            <w:tcW w:type="dxa" w:w="4320"/>
            <w:vAlign w:val="center"/>
            <w:tcMar>
              <w:top w:w="80" w:type="dxa"/>
              <w:start w:w="80" w:type="dxa"/>
              <w:bottom w:w="80" w:type="dxa"/>
              <w:end w:w="80" w:type="dxa"/>
            </w:tcMar>
          </w:tcPr>
          <w:p>
            <w:r>
              <w:rPr>
                <w:sz w:val="18"/>
              </w:rPr>
              <w:t>6.410588407 QBTU</w:t>
            </w:r>
          </w:p>
        </w:tc>
      </w:tr>
      <w:tr>
        <w:tc>
          <w:tcPr>
            <w:tcW w:type="dxa" w:w="5040"/>
            <w:vAlign w:val="center"/>
            <w:tcMar>
              <w:top w:w="80" w:type="dxa"/>
              <w:start w:w="80" w:type="dxa"/>
              <w:bottom w:w="80" w:type="dxa"/>
              <w:end w:w="80" w:type="dxa"/>
            </w:tcMar>
          </w:tcPr>
          <w:p>
            <w:r>
              <w:rPr>
                <w:sz w:val="18"/>
              </w:rPr>
              <w:t>Total domestic energy production</w:t>
            </w:r>
          </w:p>
        </w:tc>
        <w:tc>
          <w:tcPr>
            <w:tcW w:type="dxa" w:w="4320"/>
            <w:vAlign w:val="center"/>
            <w:tcMar>
              <w:top w:w="80" w:type="dxa"/>
              <w:start w:w="80" w:type="dxa"/>
              <w:bottom w:w="80" w:type="dxa"/>
              <w:end w:w="80" w:type="dxa"/>
            </w:tcMar>
          </w:tcPr>
          <w:p>
            <w:r>
              <w:rPr>
                <w:sz w:val="18"/>
              </w:rPr>
              <w:t>3.572930248 QBTU</w:t>
            </w:r>
          </w:p>
        </w:tc>
      </w:tr>
      <w:tr>
        <w:tc>
          <w:tcPr>
            <w:tcW w:type="dxa" w:w="5040"/>
            <w:vAlign w:val="center"/>
            <w:tcMar>
              <w:top w:w="80" w:type="dxa"/>
              <w:start w:w="80" w:type="dxa"/>
              <w:bottom w:w="80" w:type="dxa"/>
              <w:end w:w="80" w:type="dxa"/>
            </w:tcMar>
          </w:tcPr>
          <w:p>
            <w:r>
              <w:rPr>
                <w:sz w:val="18"/>
              </w:rPr>
              <w:t>Import-partner HHI (H)</w:t>
            </w:r>
          </w:p>
        </w:tc>
        <w:tc>
          <w:tcPr>
            <w:tcW w:type="dxa" w:w="4320"/>
            <w:vAlign w:val="center"/>
            <w:tcMar>
              <w:top w:w="80" w:type="dxa"/>
              <w:start w:w="80" w:type="dxa"/>
              <w:bottom w:w="80" w:type="dxa"/>
              <w:end w:w="80" w:type="dxa"/>
            </w:tcMar>
          </w:tcPr>
          <w:p>
            <w:r>
              <w:rPr>
                <w:sz w:val="18"/>
              </w:rPr>
              <w:t>0.166907327</w:t>
            </w:r>
          </w:p>
        </w:tc>
      </w:tr>
      <w:tr>
        <w:tc>
          <w:tcPr>
            <w:tcW w:type="dxa" w:w="5040"/>
            <w:vAlign w:val="center"/>
            <w:tcMar>
              <w:top w:w="80" w:type="dxa"/>
              <w:start w:w="80" w:type="dxa"/>
              <w:bottom w:w="80" w:type="dxa"/>
              <w:end w:w="80" w:type="dxa"/>
            </w:tcMar>
          </w:tcPr>
          <w:p>
            <w:r>
              <w:rPr>
                <w:sz w:val="18"/>
              </w:rPr>
              <w:t>Domestic WGI Political Stability</w:t>
            </w:r>
          </w:p>
        </w:tc>
        <w:tc>
          <w:tcPr>
            <w:tcW w:type="dxa" w:w="4320"/>
            <w:vAlign w:val="center"/>
            <w:tcMar>
              <w:top w:w="80" w:type="dxa"/>
              <w:start w:w="80" w:type="dxa"/>
              <w:bottom w:w="80" w:type="dxa"/>
              <w:end w:w="80" w:type="dxa"/>
            </w:tcMar>
          </w:tcPr>
          <w:p>
            <w:r>
              <w:rPr>
                <w:sz w:val="18"/>
              </w:rPr>
              <w:t>70.3 / 100</w:t>
            </w:r>
          </w:p>
        </w:tc>
      </w:tr>
      <w:tr>
        <w:tc>
          <w:tcPr>
            <w:tcW w:type="dxa" w:w="5040"/>
            <w:vAlign w:val="center"/>
            <w:tcMar>
              <w:top w:w="80" w:type="dxa"/>
              <w:start w:w="80" w:type="dxa"/>
              <w:bottom w:w="80" w:type="dxa"/>
              <w:end w:w="80" w:type="dxa"/>
            </w:tcMar>
          </w:tcPr>
          <w:p>
            <w:r>
              <w:rPr>
                <w:sz w:val="18"/>
              </w:rPr>
              <w:t>Supplier WGI Political Stability</w:t>
            </w:r>
          </w:p>
        </w:tc>
        <w:tc>
          <w:tcPr>
            <w:tcW w:type="dxa" w:w="4320"/>
            <w:vAlign w:val="center"/>
            <w:tcMar>
              <w:top w:w="80" w:type="dxa"/>
              <w:start w:w="80" w:type="dxa"/>
              <w:bottom w:w="80" w:type="dxa"/>
              <w:end w:w="80" w:type="dxa"/>
            </w:tcMar>
          </w:tcPr>
          <w:p>
            <w:r>
              <w:rPr>
                <w:sz w:val="18"/>
              </w:rPr>
              <w:t>69.570735882 / 100</w:t>
            </w:r>
          </w:p>
        </w:tc>
      </w:tr>
      <w:tr>
        <w:tc>
          <w:tcPr>
            <w:tcW w:type="dxa" w:w="5040"/>
            <w:vAlign w:val="center"/>
            <w:tcMar>
              <w:top w:w="80" w:type="dxa"/>
              <w:start w:w="80" w:type="dxa"/>
              <w:bottom w:w="80" w:type="dxa"/>
              <w:end w:w="80" w:type="dxa"/>
            </w:tcMar>
          </w:tcPr>
          <w:p>
            <w:r>
              <w:rPr>
                <w:sz w:val="18"/>
              </w:rPr>
              <w:t>Selected Comtrade energy imports</w:t>
            </w:r>
          </w:p>
        </w:tc>
        <w:tc>
          <w:tcPr>
            <w:tcW w:type="dxa" w:w="4320"/>
            <w:vAlign w:val="center"/>
            <w:tcMar>
              <w:top w:w="80" w:type="dxa"/>
              <w:start w:w="80" w:type="dxa"/>
              <w:bottom w:w="80" w:type="dxa"/>
              <w:end w:w="80" w:type="dxa"/>
            </w:tcMar>
          </w:tcPr>
          <w:p>
            <w:r>
              <w:rPr>
                <w:sz w:val="18"/>
              </w:rPr>
              <w:t>$80.895353 billion</w:t>
            </w:r>
          </w:p>
        </w:tc>
      </w:tr>
      <w:tr>
        <w:tc>
          <w:tcPr>
            <w:tcW w:type="dxa" w:w="5040"/>
            <w:vAlign w:val="center"/>
            <w:tcMar>
              <w:top w:w="80" w:type="dxa"/>
              <w:start w:w="80" w:type="dxa"/>
              <w:bottom w:w="80" w:type="dxa"/>
              <w:end w:w="80" w:type="dxa"/>
            </w:tcMar>
          </w:tcPr>
          <w:p>
            <w:r>
              <w:rPr>
                <w:sz w:val="18"/>
              </w:rPr>
              <w:t>Identified suppliers</w:t>
            </w:r>
          </w:p>
        </w:tc>
        <w:tc>
          <w:tcPr>
            <w:tcW w:type="dxa" w:w="4320"/>
            <w:vAlign w:val="center"/>
            <w:tcMar>
              <w:top w:w="80" w:type="dxa"/>
              <w:start w:w="80" w:type="dxa"/>
              <w:bottom w:w="80" w:type="dxa"/>
              <w:end w:w="80" w:type="dxa"/>
            </w:tcMar>
          </w:tcPr>
          <w:p>
            <w:r>
              <w:rPr>
                <w:sz w:val="18"/>
              </w:rPr>
              <w:t>92</w:t>
            </w:r>
          </w:p>
        </w:tc>
      </w:tr>
      <w:tr>
        <w:tc>
          <w:tcPr>
            <w:tcW w:type="dxa" w:w="5040"/>
            <w:vAlign w:val="center"/>
            <w:tcMar>
              <w:top w:w="80" w:type="dxa"/>
              <w:start w:w="80" w:type="dxa"/>
              <w:bottom w:w="80" w:type="dxa"/>
              <w:end w:w="80" w:type="dxa"/>
            </w:tcMar>
          </w:tcPr>
          <w:p>
            <w:r>
              <w:rPr>
                <w:sz w:val="18"/>
              </w:rPr>
              <w:t>Partner coverage</w:t>
            </w:r>
          </w:p>
        </w:tc>
        <w:tc>
          <w:tcPr>
            <w:tcW w:type="dxa" w:w="4320"/>
            <w:vAlign w:val="center"/>
            <w:tcMar>
              <w:top w:w="80" w:type="dxa"/>
              <w:start w:w="80" w:type="dxa"/>
              <w:bottom w:w="80" w:type="dxa"/>
              <w:end w:w="80" w:type="dxa"/>
            </w:tcMar>
          </w:tcPr>
          <w:p>
            <w:r>
              <w:rPr>
                <w:sz w:val="18"/>
              </w:rPr>
              <w:t>100.000%</w:t>
            </w:r>
          </w:p>
        </w:tc>
      </w:tr>
      <w:tr>
        <w:tc>
          <w:tcPr>
            <w:tcW w:type="dxa" w:w="5040"/>
            <w:vAlign w:val="center"/>
            <w:tcMar>
              <w:top w:w="80" w:type="dxa"/>
              <w:start w:w="80" w:type="dxa"/>
              <w:bottom w:w="80" w:type="dxa"/>
              <w:end w:w="80" w:type="dxa"/>
            </w:tcMar>
          </w:tcPr>
          <w:p>
            <w:r>
              <w:rPr>
                <w:sz w:val="18"/>
              </w:rPr>
              <w:t>Supplier-WGI coverage</w:t>
            </w:r>
          </w:p>
        </w:tc>
        <w:tc>
          <w:tcPr>
            <w:tcW w:type="dxa" w:w="4320"/>
            <w:vAlign w:val="center"/>
            <w:tcMar>
              <w:top w:w="80" w:type="dxa"/>
              <w:start w:w="80" w:type="dxa"/>
              <w:bottom w:w="80" w:type="dxa"/>
              <w:end w:w="80" w:type="dxa"/>
            </w:tcMar>
          </w:tcPr>
          <w:p>
            <w:r>
              <w:rPr>
                <w:sz w:val="18"/>
              </w:rPr>
              <w:t>99.9389%</w:t>
            </w:r>
          </w:p>
        </w:tc>
      </w:tr>
    </w:tbl>
    <w:p>
      <w:pPr>
        <w:spacing w:after="100" w:line="252" w:lineRule="auto"/>
        <w:widowControl/>
      </w:pPr>
      <w:r>
        <w:t>3A. Calculate net import dependence. The UK energy shortfall is:</w:t>
      </w:r>
    </w:p>
    <w:p>
      <w:pPr>
        <w:spacing w:before="80" w:after="100"/>
        <w:jc w:val="center"/>
        <w:widowControl/>
      </w:pPr>
      <w:r>
        <w:rPr>
          <w:rFonts w:ascii="Cambria Math" w:hAnsi="Cambria Math"/>
          <w:sz w:val="21"/>
        </w:rPr>
        <w:t>6.410588407 − 3.572930248 = 2.837658159 QBTU</w:t>
      </w:r>
    </w:p>
    <w:p>
      <w:pPr>
        <w:spacing w:after="100" w:line="252" w:lineRule="auto"/>
        <w:widowControl/>
      </w:pPr>
      <w:r>
        <w:t>Divide that shortfall by total consumption, bounded between 0 and 1:</w:t>
      </w:r>
    </w:p>
    <w:p>
      <w:pPr>
        <w:spacing w:before="80" w:after="100"/>
        <w:jc w:val="center"/>
        <w:widowControl/>
      </w:pPr>
      <w:r>
        <w:rPr>
          <w:rFonts w:ascii="Cambria Math" w:hAnsi="Cambria Math"/>
          <w:sz w:val="21"/>
        </w:rPr>
        <w:t>I = 2.837658159 / 6.410588407 = 0.442651747</w:t>
      </w:r>
    </w:p>
    <w:p>
      <w:pPr>
        <w:spacing w:before="80" w:after="100"/>
        <w:jc w:val="center"/>
        <w:widowControl/>
      </w:pPr>
      <w:r>
        <w:rPr>
          <w:rFonts w:ascii="Cambria Math" w:hAnsi="Cambria Math"/>
          <w:sz w:val="21"/>
        </w:rPr>
        <w:t>Net import dependence = 44.2652%</w:t>
      </w:r>
    </w:p>
    <w:p>
      <w:pPr>
        <w:spacing w:after="100" w:line="252" w:lineRule="auto"/>
        <w:widowControl/>
      </w:pPr>
      <w:r>
        <w:t>3B. Calculate import-partner concentration. Each supplier share is sⱼ = imports from supplier j / total selected energy imports. For Norway, the UK imported approximately $25.859745 billion from the $80.895353 billion basket:</w:t>
      </w:r>
    </w:p>
    <w:p>
      <w:pPr>
        <w:spacing w:before="80" w:after="100"/>
        <w:jc w:val="center"/>
        <w:widowControl/>
      </w:pPr>
      <w:r>
        <w:rPr>
          <w:rFonts w:ascii="Cambria Math" w:hAnsi="Cambria Math"/>
          <w:sz w:val="21"/>
        </w:rPr>
        <w:t>sNOR = 25.859745 / 80.895353 = 0.319669 ≈ 31.97%</w:t>
      </w:r>
    </w:p>
    <w:p>
      <w:pPr>
        <w:spacing w:after="100" w:line="252" w:lineRule="auto"/>
        <w:widowControl/>
      </w:pPr>
      <w:r>
        <w:t>Norway’s individual contribution to HHI is therefore approximately:</w:t>
      </w:r>
    </w:p>
    <w:p>
      <w:pPr>
        <w:spacing w:before="80" w:after="100"/>
        <w:jc w:val="center"/>
        <w:widowControl/>
      </w:pPr>
      <w:r>
        <w:rPr>
          <w:rFonts w:ascii="Cambria Math" w:hAnsi="Cambria Math"/>
          <w:sz w:val="21"/>
        </w:rPr>
        <w:t>(0.319669)² ≈ 0.1022</w:t>
      </w:r>
    </w:p>
    <w:p>
      <w:pPr>
        <w:spacing w:after="100" w:line="252" w:lineRule="auto"/>
        <w:widowControl/>
      </w:pPr>
      <w:r>
        <w:t>The squared shares of all 92 identified suppliers are summed:</w:t>
      </w:r>
    </w:p>
    <w:p>
      <w:pPr>
        <w:spacing w:before="80" w:after="100"/>
        <w:jc w:val="center"/>
        <w:widowControl/>
      </w:pPr>
      <w:r>
        <w:rPr>
          <w:rFonts w:ascii="Cambria Math" w:hAnsi="Cambria Math"/>
          <w:sz w:val="21"/>
        </w:rPr>
        <w:t>H = Σ sⱼ² = 0.166907327</w:t>
      </w:r>
    </w:p>
    <w:p>
      <w:pPr>
        <w:spacing w:after="100" w:line="252" w:lineRule="auto"/>
        <w:widowControl/>
      </w:pPr>
      <w:r>
        <w:t>The HHI contribution to the risk factor is:</w:t>
      </w:r>
    </w:p>
    <w:p>
      <w:pPr>
        <w:spacing w:before="80" w:after="100"/>
        <w:jc w:val="center"/>
        <w:widowControl/>
      </w:pPr>
      <w:r>
        <w:rPr>
          <w:rFonts w:ascii="Cambria Math" w:hAnsi="Cambria Math"/>
          <w:sz w:val="21"/>
        </w:rPr>
        <w:t>0.20 × H = 0.20 × 0.166907327 = 0.033381465</w:t>
      </w:r>
    </w:p>
    <w:p>
      <w:pPr>
        <w:spacing w:after="100" w:line="252" w:lineRule="auto"/>
        <w:widowControl/>
      </w:pPr>
      <w:r>
        <w:t>3C. Calculate the domestic political-stability penalty. The 2024 World Bank WGI Political Stability score for the UK is 70.3/100, so:</w:t>
      </w:r>
    </w:p>
    <w:p>
      <w:pPr>
        <w:spacing w:before="80" w:after="100"/>
        <w:jc w:val="center"/>
        <w:widowControl/>
      </w:pPr>
      <w:r>
        <w:rPr>
          <w:rFonts w:ascii="Cambria Math" w:hAnsi="Cambria Math"/>
          <w:sz w:val="21"/>
        </w:rPr>
        <w:t>D = 70.3 / 100 = 0.703000</w:t>
      </w:r>
    </w:p>
    <w:p>
      <w:pPr>
        <w:spacing w:before="80" w:after="100"/>
        <w:jc w:val="center"/>
        <w:widowControl/>
      </w:pPr>
      <w:r>
        <w:rPr>
          <w:rFonts w:ascii="Cambria Math" w:hAnsi="Cambria Math"/>
          <w:sz w:val="21"/>
        </w:rPr>
        <w:t>1 − D = 0.297000</w:t>
      </w:r>
    </w:p>
    <w:p>
      <w:pPr>
        <w:spacing w:before="80" w:after="100"/>
        <w:jc w:val="center"/>
        <w:widowControl/>
      </w:pPr>
      <w:r>
        <w:rPr>
          <w:rFonts w:ascii="Cambria Math" w:hAnsi="Cambria Math"/>
          <w:sz w:val="21"/>
        </w:rPr>
        <w:t>0.15 × (1 − D) = 0.15 × 0.297000 = 0.044550000</w:t>
      </w:r>
    </w:p>
    <w:p>
      <w:pPr>
        <w:spacing w:after="100" w:line="252" w:lineRule="auto"/>
        <w:widowControl/>
      </w:pPr>
      <w:r>
        <w:t>3D. Calculate supplier political stability. Supplier stability is the import-weighted average of each supplier’s 2024 WGI score:</w:t>
      </w:r>
    </w:p>
    <w:p>
      <w:pPr>
        <w:spacing w:before="80" w:after="100"/>
        <w:jc w:val="center"/>
        <w:widowControl/>
      </w:pPr>
      <w:r>
        <w:rPr>
          <w:rFonts w:ascii="Cambria Math" w:hAnsi="Cambria Math"/>
          <w:sz w:val="21"/>
        </w:rPr>
        <w:t>S = Σ(sⱼ × Dⱼ) = 69.570735882 / 100 = 0.695707359</w:t>
      </w:r>
    </w:p>
    <w:p>
      <w:pPr>
        <w:spacing w:after="100" w:line="252" w:lineRule="auto"/>
        <w:widowControl/>
      </w:pPr>
      <w:r>
        <w:t>The supplier-instability penalty is therefore:</w:t>
      </w:r>
    </w:p>
    <w:p>
      <w:pPr>
        <w:spacing w:before="80" w:after="100"/>
        <w:jc w:val="center"/>
        <w:widowControl/>
      </w:pPr>
      <w:r>
        <w:rPr>
          <w:rFonts w:ascii="Cambria Math" w:hAnsi="Cambria Math"/>
          <w:sz w:val="21"/>
        </w:rPr>
        <w:t>1 − S = 1 − 0.695707359 = 0.304292641</w:t>
      </w:r>
    </w:p>
    <w:p>
      <w:pPr>
        <w:spacing w:before="80" w:after="100"/>
        <w:jc w:val="center"/>
        <w:widowControl/>
      </w:pPr>
      <w:r>
        <w:rPr>
          <w:rFonts w:ascii="Cambria Math" w:hAnsi="Cambria Math"/>
          <w:sz w:val="21"/>
        </w:rPr>
        <w:t>0.15 × (1 − S) = 0.045643896</w:t>
      </w:r>
    </w:p>
    <w:p>
      <w:pPr>
        <w:spacing w:after="100" w:line="252" w:lineRule="auto"/>
        <w:widowControl/>
      </w:pPr>
      <w:r>
        <w:t>Supplier-WGI coverage is 99.9389%, comfortably above the 90% inclusion threshold.</w:t>
      </w:r>
    </w:p>
    <w:p>
      <w:pPr>
        <w:spacing w:after="100" w:line="252" w:lineRule="auto"/>
        <w:widowControl/>
      </w:pPr>
      <w:r>
        <w:t>3E. Calculate the complete import-risk factor:</w:t>
      </w:r>
    </w:p>
    <w:p>
      <w:pPr>
        <w:spacing w:before="80" w:after="100"/>
        <w:jc w:val="center"/>
        <w:widowControl/>
      </w:pPr>
      <w:r>
        <w:rPr>
          <w:rFonts w:ascii="Cambria Math" w:hAnsi="Cambria Math"/>
          <w:sz w:val="21"/>
        </w:rPr>
        <w:t>R = 0.50 + 0.20H + 0.15(1 − D) + 0.15(1 − S)</w:t>
      </w:r>
    </w:p>
    <w:p>
      <w:pPr>
        <w:spacing w:before="80" w:after="100"/>
        <w:jc w:val="center"/>
        <w:widowControl/>
      </w:pPr>
      <w:r>
        <w:rPr>
          <w:rFonts w:ascii="Cambria Math" w:hAnsi="Cambria Math"/>
          <w:sz w:val="21"/>
        </w:rPr>
        <w:t>R = 0.50 + 0.033381465 + 0.044550000 + 0.045643896</w:t>
      </w:r>
    </w:p>
    <w:p>
      <w:pPr>
        <w:spacing w:before="80" w:after="100"/>
        <w:jc w:val="center"/>
        <w:widowControl/>
      </w:pPr>
      <w:r>
        <w:rPr>
          <w:rFonts w:ascii="Cambria Math" w:hAnsi="Cambria Math"/>
          <w:sz w:val="21"/>
        </w:rPr>
        <w:t>R = 0.623575362</w:t>
      </w:r>
    </w:p>
    <w:p>
      <w:pPr>
        <w:spacing w:after="100" w:line="252" w:lineRule="auto"/>
        <w:widowControl/>
      </w:pPr>
      <w:r>
        <w:t>3F. Apply the risk factor to UK net import dependence:</w:t>
      </w:r>
    </w:p>
    <w:p>
      <w:pPr>
        <w:spacing w:before="80" w:after="100"/>
        <w:jc w:val="center"/>
        <w:widowControl/>
      </w:pPr>
      <w:r>
        <w:rPr>
          <w:rFonts w:ascii="Cambria Math" w:hAnsi="Cambria Math"/>
          <w:sz w:val="21"/>
        </w:rPr>
        <w:t>I × R = 0.442651747 × 0.623575362 = 0.276026723</w:t>
      </w:r>
    </w:p>
    <w:p>
      <w:pPr>
        <w:spacing w:after="100" w:line="252" w:lineRule="auto"/>
        <w:widowControl/>
      </w:pPr>
      <w:r>
        <w:t>This is a 27.6027-point vulnerability deduction on the 100-point scale:</w:t>
      </w:r>
    </w:p>
    <w:p>
      <w:pPr>
        <w:spacing w:before="80" w:after="100"/>
        <w:jc w:val="center"/>
        <w:widowControl/>
      </w:pPr>
      <w:r>
        <w:rPr>
          <w:rFonts w:ascii="Cambria Math" w:hAnsi="Cambria Math"/>
          <w:sz w:val="21"/>
        </w:rPr>
        <w:t>Step 3 = 100 × (1 − 0.276026723)</w:t>
      </w:r>
    </w:p>
    <w:p>
      <w:pPr>
        <w:spacing w:before="80" w:after="100"/>
        <w:jc w:val="center"/>
        <w:widowControl/>
      </w:pPr>
      <w:r>
        <w:rPr>
          <w:rFonts w:ascii="Cambria Math" w:hAnsi="Cambria Math"/>
          <w:sz w:val="21"/>
        </w:rPr>
        <w:t>Step 3 = 72.397328 ≈ 72.40 / 100</w:t>
      </w:r>
    </w:p>
    <w:p>
      <w:pPr>
        <w:pStyle w:val="Heading2"/>
        <w:keepNext/>
        <w:widowControl/>
      </w:pPr>
      <w:r>
        <w:t>UK Step 4 - Economic Purchasing Capacity</w:t>
      </w:r>
    </w:p>
    <w:p>
      <w:pPr>
        <w:spacing w:after="100" w:line="252" w:lineRule="auto"/>
        <w:widowControl/>
      </w:pPr>
      <w:r>
        <w:t>The UK’s 2024 nominal GDP per capita is $53,246.37. The logarithmic normalization uses the lowest observed GDP per capita in the 2024 dataset ($219.42, Burundi) and the highest ($288,001.43, Monaco).</w:t>
      </w:r>
    </w:p>
    <w:tbl>
      <w:tblPr>
        <w:tblStyle w:val="TableGrid"/>
        <w:tblW w:type="auto" w:w="0"/>
        <w:jc w:val="center"/>
        <w:tblLook w:firstColumn="1" w:firstRow="1" w:lastColumn="0" w:lastRow="0" w:noHBand="0" w:noVBand="1" w:val="04A0"/>
      </w:tblPr>
      <w:tblGrid>
        <w:gridCol w:w="5141"/>
        <w:gridCol w:w="5141"/>
      </w:tblGrid>
      <w:tr>
        <w:tc>
          <w:tcPr>
            <w:tcW w:type="dxa" w:w="4752"/>
            <w:shd w:fill="D9EAF7"/>
            <w:vAlign w:val="center"/>
            <w:tcMar>
              <w:top w:w="80" w:type="dxa"/>
              <w:start w:w="80" w:type="dxa"/>
              <w:bottom w:w="80" w:type="dxa"/>
              <w:end w:w="80" w:type="dxa"/>
            </w:tcMar>
          </w:tcPr>
          <w:p>
            <w:r>
              <w:rPr>
                <w:b/>
                <w:sz w:val="18"/>
              </w:rPr>
              <w:t>Input</w:t>
            </w:r>
          </w:p>
        </w:tc>
        <w:tc>
          <w:tcPr>
            <w:tcW w:type="dxa" w:w="4320"/>
            <w:shd w:fill="D9EAF7"/>
            <w:vAlign w:val="center"/>
            <w:tcMar>
              <w:top w:w="80" w:type="dxa"/>
              <w:start w:w="80" w:type="dxa"/>
              <w:bottom w:w="80" w:type="dxa"/>
              <w:end w:w="80" w:type="dxa"/>
            </w:tcMar>
          </w:tcPr>
          <w:p>
            <w:r>
              <w:rPr>
                <w:b/>
                <w:sz w:val="18"/>
              </w:rPr>
              <w:t>Value</w:t>
            </w:r>
          </w:p>
        </w:tc>
      </w:tr>
      <w:tr>
        <w:tc>
          <w:tcPr>
            <w:tcW w:type="dxa" w:w="4752"/>
            <w:vAlign w:val="center"/>
            <w:tcMar>
              <w:top w:w="80" w:type="dxa"/>
              <w:start w:w="80" w:type="dxa"/>
              <w:bottom w:w="80" w:type="dxa"/>
              <w:end w:w="80" w:type="dxa"/>
            </w:tcMar>
          </w:tcPr>
          <w:p>
            <w:r>
              <w:rPr>
                <w:sz w:val="18"/>
              </w:rPr>
              <w:t>UK GDP per capita</w:t>
            </w:r>
          </w:p>
        </w:tc>
        <w:tc>
          <w:tcPr>
            <w:tcW w:type="dxa" w:w="4320"/>
            <w:vAlign w:val="center"/>
            <w:tcMar>
              <w:top w:w="80" w:type="dxa"/>
              <w:start w:w="80" w:type="dxa"/>
              <w:bottom w:w="80" w:type="dxa"/>
              <w:end w:w="80" w:type="dxa"/>
            </w:tcMar>
          </w:tcPr>
          <w:p>
            <w:r>
              <w:rPr>
                <w:sz w:val="18"/>
              </w:rPr>
              <w:t>$53,246.37</w:t>
            </w:r>
          </w:p>
        </w:tc>
      </w:tr>
      <w:tr>
        <w:tc>
          <w:tcPr>
            <w:tcW w:type="dxa" w:w="4752"/>
            <w:vAlign w:val="center"/>
            <w:tcMar>
              <w:top w:w="80" w:type="dxa"/>
              <w:start w:w="80" w:type="dxa"/>
              <w:bottom w:w="80" w:type="dxa"/>
              <w:end w:w="80" w:type="dxa"/>
            </w:tcMar>
          </w:tcPr>
          <w:p>
            <w:r>
              <w:rPr>
                <w:sz w:val="18"/>
              </w:rPr>
              <w:t>Minimum GDP per capita</w:t>
            </w:r>
          </w:p>
        </w:tc>
        <w:tc>
          <w:tcPr>
            <w:tcW w:type="dxa" w:w="4320"/>
            <w:vAlign w:val="center"/>
            <w:tcMar>
              <w:top w:w="80" w:type="dxa"/>
              <w:start w:w="80" w:type="dxa"/>
              <w:bottom w:w="80" w:type="dxa"/>
              <w:end w:w="80" w:type="dxa"/>
            </w:tcMar>
          </w:tcPr>
          <w:p>
            <w:r>
              <w:rPr>
                <w:sz w:val="18"/>
              </w:rPr>
              <w:t>$219.42</w:t>
            </w:r>
          </w:p>
        </w:tc>
      </w:tr>
      <w:tr>
        <w:tc>
          <w:tcPr>
            <w:tcW w:type="dxa" w:w="4752"/>
            <w:vAlign w:val="center"/>
            <w:tcMar>
              <w:top w:w="80" w:type="dxa"/>
              <w:start w:w="80" w:type="dxa"/>
              <w:bottom w:w="80" w:type="dxa"/>
              <w:end w:w="80" w:type="dxa"/>
            </w:tcMar>
          </w:tcPr>
          <w:p>
            <w:r>
              <w:rPr>
                <w:sz w:val="18"/>
              </w:rPr>
              <w:t>Maximum GDP per capita</w:t>
            </w:r>
          </w:p>
        </w:tc>
        <w:tc>
          <w:tcPr>
            <w:tcW w:type="dxa" w:w="4320"/>
            <w:vAlign w:val="center"/>
            <w:tcMar>
              <w:top w:w="80" w:type="dxa"/>
              <w:start w:w="80" w:type="dxa"/>
              <w:bottom w:w="80" w:type="dxa"/>
              <w:end w:w="80" w:type="dxa"/>
            </w:tcMar>
          </w:tcPr>
          <w:p>
            <w:r>
              <w:rPr>
                <w:sz w:val="18"/>
              </w:rPr>
              <w:t>$288,001.43</w:t>
            </w:r>
          </w:p>
        </w:tc>
      </w:tr>
    </w:tbl>
    <w:p>
      <w:pPr>
        <w:spacing w:after="100" w:line="252" w:lineRule="auto"/>
        <w:widowControl/>
      </w:pPr>
      <w:r>
        <w:t>Take natural logarithms:</w:t>
      </w:r>
    </w:p>
    <w:p>
      <w:pPr>
        <w:spacing w:before="80" w:after="100"/>
        <w:jc w:val="center"/>
        <w:widowControl/>
      </w:pPr>
      <w:r>
        <w:rPr>
          <w:rFonts w:ascii="Cambria Math" w:hAnsi="Cambria Math"/>
          <w:sz w:val="21"/>
        </w:rPr>
        <w:t>ln(53,246.37) = 10.882685</w:t>
      </w:r>
    </w:p>
    <w:p>
      <w:pPr>
        <w:spacing w:before="80" w:after="100"/>
        <w:jc w:val="center"/>
        <w:widowControl/>
      </w:pPr>
      <w:r>
        <w:rPr>
          <w:rFonts w:ascii="Cambria Math" w:hAnsi="Cambria Math"/>
          <w:sz w:val="21"/>
        </w:rPr>
        <w:t>ln(219.42) = 5.390988</w:t>
      </w:r>
    </w:p>
    <w:p>
      <w:pPr>
        <w:spacing w:before="80" w:after="100"/>
        <w:jc w:val="center"/>
        <w:widowControl/>
      </w:pPr>
      <w:r>
        <w:rPr>
          <w:rFonts w:ascii="Cambria Math" w:hAnsi="Cambria Math"/>
          <w:sz w:val="21"/>
        </w:rPr>
        <w:t>ln(288,001.43) = 12.570721</w:t>
      </w:r>
    </w:p>
    <w:p>
      <w:pPr>
        <w:spacing w:after="100" w:line="252" w:lineRule="auto"/>
        <w:widowControl/>
      </w:pPr>
      <w:r>
        <w:t>Calculate the UK’s log distance above the minimum and the full log range:</w:t>
      </w:r>
    </w:p>
    <w:p>
      <w:pPr>
        <w:spacing w:before="80" w:after="100"/>
        <w:jc w:val="center"/>
        <w:widowControl/>
      </w:pPr>
      <w:r>
        <w:rPr>
          <w:rFonts w:ascii="Cambria Math" w:hAnsi="Cambria Math"/>
          <w:sz w:val="21"/>
        </w:rPr>
        <w:t>Numerator = 10.882685 − 5.390988 = 5.491697</w:t>
      </w:r>
    </w:p>
    <w:p>
      <w:pPr>
        <w:spacing w:before="80" w:after="100"/>
        <w:jc w:val="center"/>
        <w:widowControl/>
      </w:pPr>
      <w:r>
        <w:rPr>
          <w:rFonts w:ascii="Cambria Math" w:hAnsi="Cambria Math"/>
          <w:sz w:val="21"/>
        </w:rPr>
        <w:t>Denominator = 12.570721 − 5.390988 = 7.179733</w:t>
      </w:r>
    </w:p>
    <w:p>
      <w:pPr>
        <w:spacing w:after="100" w:line="252" w:lineRule="auto"/>
        <w:widowControl/>
      </w:pPr>
      <w:r>
        <w:t>Normalize to a 0–100 score:</w:t>
      </w:r>
    </w:p>
    <w:p>
      <w:pPr>
        <w:spacing w:before="80" w:after="100"/>
        <w:jc w:val="center"/>
        <w:widowControl/>
      </w:pPr>
      <w:r>
        <w:rPr>
          <w:rFonts w:ascii="Cambria Math" w:hAnsi="Cambria Math"/>
          <w:sz w:val="21"/>
        </w:rPr>
        <w:t>Step 4 = 100 × 5.491697 / 7.179733</w:t>
      </w:r>
    </w:p>
    <w:p>
      <w:pPr>
        <w:spacing w:before="80" w:after="100"/>
        <w:jc w:val="center"/>
        <w:widowControl/>
      </w:pPr>
      <w:r>
        <w:rPr>
          <w:rFonts w:ascii="Cambria Math" w:hAnsi="Cambria Math"/>
          <w:sz w:val="21"/>
        </w:rPr>
        <w:t>Step 4 = 76.488878 ≈ 76.49 / 100</w:t>
      </w:r>
    </w:p>
    <w:p>
      <w:pPr>
        <w:pStyle w:val="Heading2"/>
        <w:keepNext/>
        <w:widowControl/>
      </w:pPr>
      <w:r>
        <w:t>UK Overall Energy Security Index</w:t>
      </w:r>
    </w:p>
    <w:p>
      <w:pPr>
        <w:spacing w:after="100" w:line="252" w:lineRule="auto"/>
        <w:widowControl/>
      </w:pPr>
      <w:r>
        <w:t>Each component receives an equal 25% weight. Insert the four UK component scores:</w:t>
      </w:r>
    </w:p>
    <w:p>
      <w:pPr>
        <w:spacing w:before="80" w:after="100"/>
        <w:jc w:val="center"/>
        <w:widowControl/>
      </w:pPr>
      <w:r>
        <w:t>Overall = (63.560386 + 81.030822 + 72.397328 + 76.488878) / 4</w:t>
      </w:r>
    </w:p>
    <w:p>
      <w:pPr>
        <w:spacing w:before="80" w:after="100"/>
        <w:jc w:val="center"/>
        <w:widowControl/>
      </w:pPr>
      <w:r>
        <w:t>Overall = 293.477414 / 4 = 73.369353</w:t>
      </w:r>
    </w:p>
    <w:p>
      <w:pPr>
        <w:spacing w:before="80" w:after="100"/>
        <w:jc w:val="center"/>
        <w:widowControl/>
      </w:pPr>
      <w:r>
        <w:t>United Kingdom 2024 Energy Security Index = 73.37 / 100</w:t>
      </w:r>
    </w:p>
    <w:p>
      <w:pPr>
        <w:spacing w:after="100" w:line="252" w:lineRule="auto"/>
        <w:widowControl/>
      </w:pPr>
      <w:r>
        <w:t>In this 2024 version of the index, the United Kingdom ranks 44th of 112 countries/economies meeting all data and Step 3 coverage requirements.</w:t>
      </w:r>
    </w:p>
    <w:sectPr w:rsidR="00FC693F" w:rsidRPr="0006063C" w:rsidSect="00034616">
      <w:footerReference w:type="default" r:id="rId16"/>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2024 Energy Security Index - methodology and UK worked example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eia.gov/international/data/world/electricity/electricity-generation" TargetMode="External"/><Relationship Id="rId10" Type="http://schemas.openxmlformats.org/officeDocument/2006/relationships/hyperlink" Target="https://www.eia.gov/opendata/bulk-downloads.php" TargetMode="External"/><Relationship Id="rId11" Type="http://schemas.openxmlformats.org/officeDocument/2006/relationships/hyperlink" Target="https://www.eia.gov/international/data/world" TargetMode="External"/><Relationship Id="rId12" Type="http://schemas.openxmlformats.org/officeDocument/2006/relationships/hyperlink" Target="https://comtradeplus.un.org/TradeFlow?Frequency=A" TargetMode="External"/><Relationship Id="rId13" Type="http://schemas.openxmlformats.org/officeDocument/2006/relationships/hyperlink" Target="https://data.worldbank.org/indicator/GOV_WGI_PV_SC" TargetMode="External"/><Relationship Id="rId14" Type="http://schemas.openxmlformats.org/officeDocument/2006/relationships/hyperlink" Target="https://datacatalog.worldbank.org/search/dataset/0038026/worldwide-governance-indicators" TargetMode="External"/><Relationship Id="rId15" Type="http://schemas.openxmlformats.org/officeDocument/2006/relationships/hyperlink" Target="https://data.worldbank.org/indicator/NY.GDP.PCAP.CD"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 Energy Security Index Methodology and Detailed UK Worked Example</dc:title>
  <dc:subject>Energy security index methodology</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