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4"/>
          <w:szCs w:val="44"/>
        </w:rPr>
        <w:t xml:space="preserve">Data Fairness Reflection</w:t>
      </w:r>
    </w:p>
    <w:p>
      <w:pPr>
        <w:spacing w:after="150"/>
      </w:pPr>
      <w:r>
        <w:rPr>
          <w:i/>
          <w:iCs/>
        </w:rPr>
        <w:t xml:space="preserve">Task 3 — City Library Summer Reading Program</w:t>
      </w:r>
    </w:p>
    <w:p>
      <w:pPr>
        <w:spacing w:after="150"/>
      </w:pPr>
      <w:r>
        <w:t xml:space="preserve">This reflection compares the number of registered members against the number of checkouts across the five neighborhoods served by the program, using the cleaned dataset from Task 2 (task2_cleaned_data.csv), to judge whether any neighborhood is under-represented.</w:t>
      </w:r>
    </w:p>
    <w:p>
      <w:pPr>
        <w:pStyle w:val="Heading1"/>
        <w:spacing w:after="150" w:before="300"/>
      </w:pPr>
      <w:r>
        <w:t xml:space="preserve">1. Basis</w:t>
      </w:r>
    </w:p>
    <w:p>
      <w:pPr>
        <w:spacing w:after="150"/>
      </w:pPr>
      <w:r>
        <w:t xml:space="preserve">Raw member counts and raw checkout counts cannot be compared directly, since neighborhoods have very different numbers of registered members to begin with. Instead, "checkouts per member" was used as the standard: total checkouts in a neighborhood divided by the number of registered members living there. A neighborhood was treated as under-represented if its checkouts-per-member figure fell more than 10% below the average across all five neighborhoods.</w:t>
      </w:r>
    </w:p>
    <w:p>
      <w:pPr>
        <w:pStyle w:val="Heading1"/>
        <w:spacing w:after="150" w:before="300"/>
      </w:pPr>
      <w:r>
        <w:t xml:space="preserve">2. Finding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840"/>
      </w:tblGrid>
      <w:tr>
        <w:tc>
          <w:tcPr>
            <w:tcW w:type="dxa" w:w="3000"/>
            <w:shd w:fill="00095A" w:val="clear"/>
          </w:tcPr>
          <w:p>
            <w:r>
              <w:rPr>
                <w:b/>
                <w:bCs/>
                <w:color w:val="FFFFFF"/>
              </w:rPr>
              <w:t xml:space="preserve">Neighborhood</w:t>
            </w:r>
          </w:p>
        </w:tc>
        <w:tc>
          <w:tcPr>
            <w:tcW w:type="dxa" w:w="2000"/>
            <w:shd w:fill="00095A" w:val="clear"/>
          </w:tcPr>
          <w:p>
            <w:r>
              <w:rPr>
                <w:b/>
                <w:bCs/>
                <w:color w:val="FFFFFF"/>
              </w:rPr>
              <w:t xml:space="preserve">Members</w:t>
            </w:r>
          </w:p>
        </w:tc>
        <w:tc>
          <w:tcPr>
            <w:tcW w:type="dxa" w:w="2000"/>
            <w:shd w:fill="00095A" w:val="clear"/>
          </w:tcPr>
          <w:p>
            <w:r>
              <w:rPr>
                <w:b/>
                <w:bCs/>
                <w:color w:val="FFFFFF"/>
              </w:rPr>
              <w:t xml:space="preserve">Checkouts</w:t>
            </w:r>
          </w:p>
        </w:tc>
        <w:tc>
          <w:tcPr>
            <w:tcW w:type="dxa" w:w="2840"/>
            <w:shd w:fill="00095A" w:val="clear"/>
          </w:tcPr>
          <w:p>
            <w:r>
              <w:rPr>
                <w:b/>
                <w:bCs/>
                <w:color w:val="FFFFFF"/>
              </w:rPr>
              <w:t xml:space="preserve">Checkouts per Member</w:t>
            </w:r>
          </w:p>
        </w:tc>
      </w:tr>
      <w:tr>
        <w:tc>
          <w:tcPr>
            <w:tcW w:type="dxa" w:w="3000"/>
          </w:tcPr>
          <w:p>
            <w:r>
              <w:t xml:space="preserve">Shubra</w:t>
            </w:r>
          </w:p>
        </w:tc>
        <w:tc>
          <w:tcPr>
            <w:tcW w:type="dxa" w:w="2000"/>
          </w:tcPr>
          <w:p>
            <w:r>
              <w:t xml:space="preserve">6</w:t>
            </w:r>
          </w:p>
        </w:tc>
        <w:tc>
          <w:tcPr>
            <w:tcW w:type="dxa" w:w="2000"/>
          </w:tcPr>
          <w:p>
            <w:r>
              <w:t xml:space="preserve">34</w:t>
            </w:r>
          </w:p>
        </w:tc>
        <w:tc>
          <w:tcPr>
            <w:tcW w:type="dxa" w:w="2840"/>
          </w:tcPr>
          <w:p>
            <w:r>
              <w:t xml:space="preserve">5.67</w:t>
            </w:r>
          </w:p>
        </w:tc>
      </w:tr>
      <w:tr>
        <w:tc>
          <w:tcPr>
            <w:tcW w:type="dxa" w:w="3000"/>
          </w:tcPr>
          <w:p>
            <w:r>
              <w:t xml:space="preserve">Maadi</w:t>
            </w:r>
          </w:p>
        </w:tc>
        <w:tc>
          <w:tcPr>
            <w:tcW w:type="dxa" w:w="2000"/>
          </w:tcPr>
          <w:p>
            <w:r>
              <w:t xml:space="preserve">22</w:t>
            </w:r>
          </w:p>
        </w:tc>
        <w:tc>
          <w:tcPr>
            <w:tcW w:type="dxa" w:w="2000"/>
          </w:tcPr>
          <w:p>
            <w:r>
              <w:t xml:space="preserve">114</w:t>
            </w:r>
          </w:p>
        </w:tc>
        <w:tc>
          <w:tcPr>
            <w:tcW w:type="dxa" w:w="2840"/>
          </w:tcPr>
          <w:p>
            <w:r>
              <w:t xml:space="preserve">5.18</w:t>
            </w:r>
          </w:p>
        </w:tc>
      </w:tr>
      <w:tr>
        <w:tc>
          <w:tcPr>
            <w:tcW w:type="dxa" w:w="3000"/>
          </w:tcPr>
          <w:p>
            <w:r>
              <w:t xml:space="preserve">Nasr City</w:t>
            </w:r>
          </w:p>
        </w:tc>
        <w:tc>
          <w:tcPr>
            <w:tcW w:type="dxa" w:w="2000"/>
          </w:tcPr>
          <w:p>
            <w:r>
              <w:t xml:space="preserve">20</w:t>
            </w:r>
          </w:p>
        </w:tc>
        <w:tc>
          <w:tcPr>
            <w:tcW w:type="dxa" w:w="2000"/>
          </w:tcPr>
          <w:p>
            <w:r>
              <w:t xml:space="preserve">101</w:t>
            </w:r>
          </w:p>
        </w:tc>
        <w:tc>
          <w:tcPr>
            <w:tcW w:type="dxa" w:w="2840"/>
          </w:tcPr>
          <w:p>
            <w:r>
              <w:t xml:space="preserve">5.05</w:t>
            </w:r>
          </w:p>
        </w:tc>
      </w:tr>
      <w:tr>
        <w:tc>
          <w:tcPr>
            <w:tcW w:type="dxa" w:w="3000"/>
          </w:tcPr>
          <w:p>
            <w:r>
              <w:t xml:space="preserve">Zamalek</w:t>
            </w:r>
          </w:p>
        </w:tc>
        <w:tc>
          <w:tcPr>
            <w:tcW w:type="dxa" w:w="2000"/>
          </w:tcPr>
          <w:p>
            <w:r>
              <w:t xml:space="preserve">14</w:t>
            </w:r>
          </w:p>
        </w:tc>
        <w:tc>
          <w:tcPr>
            <w:tcW w:type="dxa" w:w="2000"/>
          </w:tcPr>
          <w:p>
            <w:r>
              <w:t xml:space="preserve">68</w:t>
            </w:r>
          </w:p>
        </w:tc>
        <w:tc>
          <w:tcPr>
            <w:tcW w:type="dxa" w:w="2840"/>
          </w:tcPr>
          <w:p>
            <w:r>
              <w:t xml:space="preserve">4.86</w:t>
            </w:r>
          </w:p>
        </w:tc>
      </w:tr>
      <w:tr>
        <w:tc>
          <w:tcPr>
            <w:tcW w:type="dxa" w:w="3000"/>
          </w:tcPr>
          <w:p>
            <w:r>
              <w:t xml:space="preserve">Heliopolis</w:t>
            </w:r>
          </w:p>
        </w:tc>
        <w:tc>
          <w:tcPr>
            <w:tcW w:type="dxa" w:w="2000"/>
          </w:tcPr>
          <w:p>
            <w:r>
              <w:t xml:space="preserve">18</w:t>
            </w:r>
          </w:p>
        </w:tc>
        <w:tc>
          <w:tcPr>
            <w:tcW w:type="dxa" w:w="2000"/>
          </w:tcPr>
          <w:p>
            <w:r>
              <w:t xml:space="preserve">87</w:t>
            </w:r>
          </w:p>
        </w:tc>
        <w:tc>
          <w:tcPr>
            <w:tcW w:type="dxa" w:w="2840"/>
          </w:tcPr>
          <w:p>
            <w:r>
              <w:t xml:space="preserve">4.83</w:t>
            </w:r>
          </w:p>
        </w:tc>
      </w:tr>
    </w:tbl>
    <w:p>
      <w:pPr>
        <w:spacing w:after="150"/>
      </w:pPr>
    </w:p>
    <w:p>
      <w:pPr>
        <w:spacing w:after="150"/>
      </w:pPr>
      <w:r>
        <w:t xml:space="preserve">The average checkouts-per-member across all five neighborhoods is 5.12. The lowest figure, Heliopolis at 4.83, sits about 5.6% below that average - inside the 10% threshold set above. Based on this standard, no neighborhood is meaningfully under-represented: engagement is fairly even across the community, with all five neighborhoods falling within a narrow band (4.83 to 5.67 checkouts per member).</w:t>
      </w:r>
    </w:p>
    <w:p>
      <w:pPr>
        <w:spacing w:after="150"/>
      </w:pPr>
      <w:r>
        <w:t xml:space="preserve">That said, Heliopolis and Zamalek sit at the lower end of that band, while Shubra - despite having by far the fewest registered members (6) - actually shows the highest engagement per member. This is worth watching even though it doesn't cross the under-representation threshold used here.</w:t>
      </w:r>
    </w:p>
    <w:p>
      <w:pPr>
        <w:pStyle w:val="Heading1"/>
        <w:spacing w:after="150" w:before="300"/>
      </w:pPr>
      <w:r>
        <w:t xml:space="preserve">3. A Plausible Reason</w:t>
      </w:r>
    </w:p>
    <w:p>
      <w:pPr>
        <w:spacing w:after="150"/>
      </w:pPr>
      <w:r>
        <w:t xml:space="preserve">A realistic explanation for Heliopolis and Zamalek trailing slightly behind is distance from the library itself: if the physical library location is closer to Maadi, Nasr City, or Shubra, families in Heliopolis and Zamalek may face a small but consistent extra barrier (travel time or transportation) that slightly reduces how often their children participate, even if just as many of them are registered as members.</w:t>
      </w:r>
    </w:p>
    <w:p>
      <w:pPr>
        <w:pStyle w:val="Heading1"/>
        <w:spacing w:after="150" w:before="300"/>
      </w:pPr>
      <w:r>
        <w:t xml:space="preserve">4. A Next Step</w:t>
      </w:r>
    </w:p>
    <w:p>
      <w:pPr>
        <w:spacing w:after="150"/>
      </w:pPr>
      <w:r>
        <w:t xml:space="preserve">For next summer, the library could run a small outreach push specifically in Heliopolis and Zamalek - for example, a pop-up book drop-off/pickup point or a partnership with a local school in those neighborhoods during the Reading Kickoff event - to make participation easier without requiring a trip to the main library location.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2026-08-26T22:36:26.100Z</dcterms:created>
  <dcterms:modified xsi:type="dcterms:W3CDTF">2026-08-26T22:36:26.112Z</dcterms:modified>
</cp:coreProperties>
</file>

<file path=docProps/custom.xml><?xml version="1.0" encoding="utf-8"?>
<Properties xmlns="http://schemas.openxmlformats.org/officeDocument/2006/custom-properties" xmlns:vt="http://schemas.openxmlformats.org/officeDocument/2006/docPropsVTypes"/>
</file>