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D4E" w:val="clear"/>
            <w:tcMar>
              <w:top w:type="dxa" w:w="0"/>
              <w:left w:type="dxa" w:w="300"/>
              <w:bottom w:type="dxa" w:w="0"/>
              <w:right w:type="dxa" w:w="300"/>
            </w:tcMar>
            <w:vAlign w:val="center"/>
          </w:tcPr>
          <w:p>
            <w:pPr>
              <w:spacing w:after="40" w:before="400"/>
              <w:jc w:val="center"/>
            </w:pPr>
            <w:r>
              <w:rPr>
                <w:rFonts w:ascii="Arial" w:cs="Arial" w:eastAsia="Arial" w:hAnsi="Arial"/>
                <w:b w:val="false"/>
                <w:bCs w:val="false"/>
                <w:i w:val="false"/>
                <w:iCs w:val="false"/>
                <w:color w:val="000000"/>
                <w:sz w:val="20"/>
                <w:szCs w:val="20"/>
              </w:rPr>
              <w:t xml:space="preserve">VALOXI</w:t>
            </w:r>
          </w:p>
          <w:p>
            <w:pPr>
              <w:spacing w:after="40" w:before="0"/>
              <w:jc w:val="center"/>
            </w:pPr>
            <w:r>
              <w:rPr>
                <w:rFonts w:ascii="Arial" w:cs="Arial" w:eastAsia="Arial" w:hAnsi="Arial"/>
                <w:b w:val="false"/>
                <w:bCs w:val="false"/>
                <w:i w:val="false"/>
                <w:iCs w:val="false"/>
                <w:color w:val="000000"/>
                <w:sz w:val="20"/>
                <w:szCs w:val="20"/>
              </w:rPr>
              <w:t xml:space="preserve">Public Launch Brief</w:t>
            </w:r>
          </w:p>
          <w:p>
            <w:pPr>
              <w:spacing w:after="80" w:before="0"/>
              <w:jc w:val="center"/>
            </w:pPr>
            <w:r>
              <w:rPr>
                <w:rFonts w:ascii="Arial" w:cs="Arial" w:eastAsia="Arial" w:hAnsi="Arial"/>
                <w:b w:val="false"/>
                <w:bCs w:val="false"/>
                <w:i w:val="false"/>
                <w:iCs w:val="false"/>
                <w:color w:val="000000"/>
                <w:sz w:val="20"/>
                <w:szCs w:val="20"/>
              </w:rPr>
              <w:t xml:space="preserve">From 16 to 100 paying users by 31 May 2026</w:t>
            </w:r>
          </w:p>
          <w:p>
            <w:pPr>
              <w:spacing w:after="400" w:before="0"/>
              <w:jc w:val="center"/>
            </w:pPr>
            <w:r>
              <w:rPr>
                <w:rFonts w:ascii="Arial" w:cs="Arial" w:eastAsia="Arial" w:hAnsi="Arial"/>
                <w:b w:val="false"/>
                <w:bCs w:val="false"/>
                <w:i w:val="false"/>
                <w:iCs w:val="false"/>
                <w:color w:val="000000"/>
                <w:sz w:val="20"/>
                <w:szCs w:val="20"/>
              </w:rPr>
              <w:t xml:space="preserve">Prepared by Adam David  |  Founder, Valoxi  |  May 2026</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4"/>
              <w:left w:val="single" w:color="B8962E" w:sz="4"/>
              <w:bottom w:val="single" w:color="B8962E" w:sz="4"/>
              <w:right w:val="single" w:color="B8962E" w:sz="4"/>
            </w:tcBorders>
            <w:shd w:fill="F8F4EC" w:val="clear"/>
            <w:tcMar>
              <w:top w:type="dxa" w:w="160"/>
              <w:left w:type="dxa" w:w="240"/>
              <w:bottom w:type="dxa" w:w="160"/>
              <w:right w:type="dxa" w:w="240"/>
            </w:tcMar>
            <w:vAlign w:val="center"/>
          </w:tcPr>
          <w:p>
            <w:pPr>
              <w:spacing w:after="40" w:before="120"/>
              <w:jc w:val="left"/>
            </w:pPr>
            <w:r>
              <w:rPr>
                <w:rFonts w:ascii="Arial" w:cs="Arial" w:eastAsia="Arial" w:hAnsi="Arial"/>
                <w:b/>
                <w:bCs/>
                <w:i w:val="false"/>
                <w:iCs w:val="false"/>
                <w:color w:val="1F2D4E"/>
                <w:sz w:val="18"/>
                <w:szCs w:val="18"/>
              </w:rPr>
              <w:t xml:space="preserve">The mission</w:t>
            </w:r>
          </w:p>
          <w:p>
            <w:pPr>
              <w:spacing w:after="120" w:before="0"/>
              <w:jc w:val="left"/>
            </w:pPr>
            <w:r>
              <w:rPr>
                <w:rFonts w:ascii="Arial" w:cs="Arial" w:eastAsia="Arial" w:hAnsi="Arial"/>
                <w:b w:val="false"/>
                <w:bCs w:val="false"/>
                <w:i w:val="false"/>
                <w:iCs w:val="false"/>
                <w:color w:val="404040"/>
                <w:sz w:val="19"/>
                <w:szCs w:val="19"/>
              </w:rPr>
              <w:t xml:space="preserve">84 new paying users in 25 days. We are not incrementally growing — we are executing a focused sprint using every channel available to us simultaneously. This brief defines exactly what we say, who we say it to, and how we get them over the line.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276" w:sz="4"/>
              <w:left w:val="single" w:color="1A5276" w:sz="4"/>
              <w:bottom w:val="single" w:color="1A5276" w:sz="4"/>
              <w:right w:val="single" w:color="1A5276" w:sz="4"/>
            </w:tcBorders>
            <w:shd w:fill="EBF5FB" w:val="clear"/>
            <w:tcMar>
              <w:top w:type="dxa" w:w="80"/>
              <w:left w:type="dxa" w:w="40"/>
              <w:bottom w:type="dxa" w:w="80"/>
              <w:right w:type="dxa" w:w="40"/>
            </w:tcMar>
            <w:vAlign w:val="center"/>
          </w:tcPr>
          <w:p>
            <w:pPr>
              <w:spacing w:after="0" w:before="120"/>
              <w:jc w:val="center"/>
            </w:pPr>
            <w:r>
              <w:rPr>
                <w:rFonts w:ascii="Arial" w:cs="Arial" w:eastAsia="Arial" w:hAnsi="Arial"/>
                <w:b/>
                <w:bCs/>
                <w:i w:val="false"/>
                <w:iCs w:val="false"/>
                <w:color w:val="1A5276"/>
                <w:sz w:val="48"/>
                <w:szCs w:val="48"/>
              </w:rPr>
              <w:t xml:space="preserve">16</w:t>
            </w:r>
          </w:p>
          <w:p>
            <w:pPr>
              <w:spacing w:after="120" w:before="0"/>
              <w:jc w:val="center"/>
            </w:pPr>
            <w:r>
              <w:rPr>
                <w:rFonts w:ascii="Arial" w:cs="Arial" w:eastAsia="Arial" w:hAnsi="Arial"/>
                <w:b w:val="false"/>
                <w:bCs w:val="false"/>
                <w:i/>
                <w:iCs/>
                <w:color w:val="1A5276"/>
                <w:sz w:val="16"/>
                <w:szCs w:val="16"/>
              </w:rPr>
              <w:t xml:space="preserve">Paid users today</w:t>
            </w:r>
          </w:p>
        </w:tc>
        <w:tc>
          <w:tcPr>
            <w:tcW w:type="dxa" w:w="2340"/>
            <w:tcBorders>
              <w:top w:val="single" w:color="1E8449" w:sz="4"/>
              <w:left w:val="single" w:color="1E8449" w:sz="4"/>
              <w:bottom w:val="single" w:color="1E8449" w:sz="4"/>
              <w:right w:val="single" w:color="1E8449" w:sz="4"/>
            </w:tcBorders>
            <w:shd w:fill="D5F5E3" w:val="clear"/>
            <w:tcMar>
              <w:top w:type="dxa" w:w="80"/>
              <w:left w:type="dxa" w:w="40"/>
              <w:bottom w:type="dxa" w:w="80"/>
              <w:right w:type="dxa" w:w="40"/>
            </w:tcMar>
            <w:vAlign w:val="center"/>
          </w:tcPr>
          <w:p>
            <w:pPr>
              <w:spacing w:after="0" w:before="120"/>
              <w:jc w:val="center"/>
            </w:pPr>
            <w:r>
              <w:rPr>
                <w:rFonts w:ascii="Arial" w:cs="Arial" w:eastAsia="Arial" w:hAnsi="Arial"/>
                <w:b/>
                <w:bCs/>
                <w:i w:val="false"/>
                <w:iCs w:val="false"/>
                <w:color w:val="1E8449"/>
                <w:sz w:val="48"/>
                <w:szCs w:val="48"/>
              </w:rPr>
              <w:t xml:space="preserve">100</w:t>
            </w:r>
          </w:p>
          <w:p>
            <w:pPr>
              <w:spacing w:after="120" w:before="0"/>
              <w:jc w:val="center"/>
            </w:pPr>
            <w:r>
              <w:rPr>
                <w:rFonts w:ascii="Arial" w:cs="Arial" w:eastAsia="Arial" w:hAnsi="Arial"/>
                <w:b w:val="false"/>
                <w:bCs w:val="false"/>
                <w:i/>
                <w:iCs/>
                <w:color w:val="1E8449"/>
                <w:sz w:val="16"/>
                <w:szCs w:val="16"/>
              </w:rPr>
              <w:t xml:space="preserve">Target by 31 May</w:t>
            </w:r>
          </w:p>
        </w:tc>
        <w:tc>
          <w:tcPr>
            <w:tcW w:type="dxa" w:w="2340"/>
            <w:tcBorders>
              <w:top w:val="single" w:color="E67E22" w:sz="4"/>
              <w:left w:val="single" w:color="E67E22" w:sz="4"/>
              <w:bottom w:val="single" w:color="E67E22" w:sz="4"/>
              <w:right w:val="single" w:color="E67E22" w:sz="4"/>
            </w:tcBorders>
            <w:shd w:fill="FEF9E7" w:val="clear"/>
            <w:tcMar>
              <w:top w:type="dxa" w:w="80"/>
              <w:left w:type="dxa" w:w="40"/>
              <w:bottom w:type="dxa" w:w="80"/>
              <w:right w:type="dxa" w:w="40"/>
            </w:tcMar>
            <w:vAlign w:val="center"/>
          </w:tcPr>
          <w:p>
            <w:pPr>
              <w:spacing w:after="0" w:before="120"/>
              <w:jc w:val="center"/>
            </w:pPr>
            <w:r>
              <w:rPr>
                <w:rFonts w:ascii="Arial" w:cs="Arial" w:eastAsia="Arial" w:hAnsi="Arial"/>
                <w:b/>
                <w:bCs/>
                <w:i w:val="false"/>
                <w:iCs w:val="false"/>
                <w:color w:val="E67E22"/>
                <w:sz w:val="48"/>
                <w:szCs w:val="48"/>
              </w:rPr>
              <w:t xml:space="preserve">84</w:t>
            </w:r>
          </w:p>
          <w:p>
            <w:pPr>
              <w:spacing w:after="120" w:before="0"/>
              <w:jc w:val="center"/>
            </w:pPr>
            <w:r>
              <w:rPr>
                <w:rFonts w:ascii="Arial" w:cs="Arial" w:eastAsia="Arial" w:hAnsi="Arial"/>
                <w:b w:val="false"/>
                <w:bCs w:val="false"/>
                <w:i/>
                <w:iCs/>
                <w:color w:val="E67E22"/>
                <w:sz w:val="16"/>
                <w:szCs w:val="16"/>
              </w:rPr>
              <w:t xml:space="preserve">Users to acquire</w:t>
            </w:r>
          </w:p>
        </w:tc>
        <w:tc>
          <w:tcPr>
            <w:tcW w:type="dxa" w:w="2340"/>
            <w:tcBorders>
              <w:top w:val="single" w:color="C0392B" w:sz="4"/>
              <w:left w:val="single" w:color="C0392B" w:sz="4"/>
              <w:bottom w:val="single" w:color="C0392B" w:sz="4"/>
              <w:right w:val="single" w:color="C0392B" w:sz="4"/>
            </w:tcBorders>
            <w:shd w:fill="FADBD8" w:val="clear"/>
            <w:tcMar>
              <w:top w:type="dxa" w:w="80"/>
              <w:left w:type="dxa" w:w="40"/>
              <w:bottom w:type="dxa" w:w="80"/>
              <w:right w:type="dxa" w:w="40"/>
            </w:tcMar>
            <w:vAlign w:val="center"/>
          </w:tcPr>
          <w:p>
            <w:pPr>
              <w:spacing w:after="0" w:before="120"/>
              <w:jc w:val="center"/>
            </w:pPr>
            <w:r>
              <w:rPr>
                <w:rFonts w:ascii="Arial" w:cs="Arial" w:eastAsia="Arial" w:hAnsi="Arial"/>
                <w:b/>
                <w:bCs/>
                <w:i w:val="false"/>
                <w:iCs w:val="false"/>
                <w:color w:val="C0392B"/>
                <w:sz w:val="48"/>
                <w:szCs w:val="48"/>
              </w:rPr>
              <w:t xml:space="preserve">25</w:t>
            </w:r>
          </w:p>
          <w:p>
            <w:pPr>
              <w:spacing w:after="120" w:before="0"/>
              <w:jc w:val="center"/>
            </w:pPr>
            <w:r>
              <w:rPr>
                <w:rFonts w:ascii="Arial" w:cs="Arial" w:eastAsia="Arial" w:hAnsi="Arial"/>
                <w:b w:val="false"/>
                <w:bCs w:val="false"/>
                <w:i/>
                <w:iCs/>
                <w:color w:val="C0392B"/>
                <w:sz w:val="16"/>
                <w:szCs w:val="16"/>
              </w:rPr>
              <w:t xml:space="preserve">Days to do it in</w:t>
            </w:r>
          </w:p>
        </w:tc>
      </w:tr>
    </w:tbl>
    <w:p>
      <w:pPr>
        <w:spacing w:after="200" w:before="200"/>
      </w:pPr>
    </w:p>
    <w:p>
      <w:r>
        <w:br w:type="page"/>
      </w:r>
    </w:p>
    <w:p>
      <w:pPr>
        <w:pStyle w:val="Heading1"/>
        <w:spacing w:after="160" w:before="320"/>
      </w:pPr>
      <w:r>
        <w:rPr>
          <w:rFonts w:ascii="Arial" w:cs="Arial" w:eastAsia="Arial" w:hAnsi="Arial"/>
          <w:b/>
          <w:bCs/>
          <w:color w:val="1F2D4E"/>
          <w:sz w:val="32"/>
          <w:szCs w:val="32"/>
        </w:rPr>
        <w:t xml:space="preserve">1.  What Valoxi Actually Does</w:t>
      </w:r>
    </w:p>
    <w:p>
      <w:pPr>
        <w:spacing w:after="100" w:before="0"/>
        <w:jc w:val="left"/>
      </w:pPr>
      <w:r>
        <w:rPr>
          <w:rFonts w:ascii="Arial" w:cs="Arial" w:eastAsia="Arial" w:hAnsi="Arial"/>
          <w:b w:val="false"/>
          <w:bCs w:val="false"/>
          <w:i w:val="false"/>
          <w:iCs w:val="false"/>
          <w:color w:val="404040"/>
          <w:sz w:val="19"/>
          <w:szCs w:val="19"/>
        </w:rPr>
        <w:t xml:space="preserve">Valoxi is the only AI-powered deal management platform built specifically for UK SME acquisition entrepreneurs. Every other tool in this space is either built for large PE firms or is a generic project management tool that acqui-entrepreneurs have bent to fit the job. Valoxi is the first platform purpose-built for the individual or small-team buyer doing deals in the £500k to £5m range.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FFFFFF"/>
                <w:sz w:val="18"/>
                <w:szCs w:val="18"/>
              </w:rPr>
              <w:t xml:space="preserve">What it does</w:t>
            </w:r>
          </w:p>
        </w:tc>
        <w:tc>
          <w:tcPr>
            <w:tcW w:type="dxa" w:w="6960"/>
            <w:tcBorders>
              <w:top w:val="single" w:color="DDDDDD" w:sz="4"/>
              <w:left w:val="single" w:color="DDDDDD" w:sz="4"/>
              <w:bottom w:val="single" w:color="DDDDDD" w:sz="4"/>
              <w:right w:val="single" w:color="DDDDDD" w:sz="4"/>
            </w:tcBorders>
            <w:shd w:fill="1F2D4E" w:val="clear"/>
            <w:tcMar>
              <w:top w:type="dxa" w:w="60"/>
              <w:left w:type="dxa" w:w="160"/>
              <w:bottom w:type="dxa" w:w="60"/>
              <w:right w:type="dxa" w:w="160"/>
            </w:tcMar>
            <w:vAlign w:val="center"/>
          </w:tcPr>
          <w:p>
            <w:pPr>
              <w:spacing w:after="60" w:before="60"/>
              <w:jc w:val="left"/>
            </w:pPr>
            <w:r>
              <w:rPr>
                <w:rFonts w:ascii="Arial" w:cs="Arial" w:eastAsia="Arial" w:hAnsi="Arial"/>
                <w:b/>
                <w:bCs/>
                <w:i w:val="false"/>
                <w:iCs w:val="false"/>
                <w:color w:val="FFFFFF"/>
                <w:sz w:val="18"/>
                <w:szCs w:val="18"/>
              </w:rPr>
              <w:t xml:space="preserve">Why it matters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Manage all your deals in one place</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No more spreadsheets, Notion docs and email threads. Every deal in a structured pipeline with full visibility on where you are and what needs doing next.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AI analysis by eight specialist agents</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Eight Gemini-powered expert agents analyse every deal — financials, legal risk, operations, market position, management team and more. Work that would take an advisory team days happens in minutes.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Creates a professional deal presence</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NDAs, offer letters and heads of terms generated in one click, formatted to professional standard. A sole buyer looks like a funded firm. Sellers take you seriously.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Makes due diligence a breeze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Structured DD framework built in. Checklist-driven, tracked, documented. Nothing falls through the cracks. Everything you need to present to a funder or solicitor is ready.</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Deal modeller with EV-to-equity bridge</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Model the deal economics in real time. Enterprise value, funding structure, equity position, debt service — all in one view. Understand the deal before you make the offer.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5276" w:sz="6"/>
              <w:left w:val="single" w:color="1A5276" w:sz="6"/>
              <w:bottom w:val="single" w:color="1A5276" w:sz="6"/>
              <w:right w:val="single" w:color="1A5276" w:sz="6"/>
            </w:tcBorders>
            <w:shd w:fill="EBF5FB" w:val="clear"/>
            <w:tcMar>
              <w:top w:type="dxa" w:w="100"/>
              <w:left w:type="dxa" w:w="120"/>
              <w:bottom w:type="dxa" w:w="100"/>
              <w:right w:type="dxa" w:w="120"/>
            </w:tcMar>
            <w:vAlign w:val="center"/>
          </w:tcPr>
          <w:p>
            <w:pPr>
              <w:spacing w:after="80" w:before="80"/>
              <w:jc w:val="left"/>
            </w:pPr>
            <w:r>
              <w:rPr>
                <w:rFonts w:ascii="Arial" w:cs="Arial" w:eastAsia="Arial" w:hAnsi="Arial"/>
                <w:b/>
                <w:bCs/>
                <w:i w:val="false"/>
                <w:iCs w:val="false"/>
                <w:color w:val="1A5276"/>
                <w:sz w:val="18"/>
                <w:szCs w:val="18"/>
              </w:rPr>
              <w:t xml:space="preserve">The positioning</w:t>
            </w:r>
          </w:p>
        </w:tc>
        <w:tc>
          <w:tcPr>
            <w:tcW w:type="dxa" w:w="7360"/>
            <w:tcBorders>
              <w:top w:val="single" w:color="DDDDDD" w:sz="4"/>
              <w:left w:val="single" w:color="DDDDDD" w:sz="4"/>
              <w:bottom w:val="single" w:color="DDDDDD" w:sz="4"/>
              <w:right w:val="single" w:color="DDDDDD" w:sz="4"/>
            </w:tcBorders>
            <w:shd w:fill="EBF5FB" w:val="clear"/>
            <w:tcMar>
              <w:top w:type="dxa" w:w="80"/>
              <w:left w:type="dxa" w:w="160"/>
              <w:bottom w:type="dxa" w:w="80"/>
              <w:right w:type="dxa" w:w="160"/>
            </w:tcMar>
            <w:vAlign w:val="center"/>
          </w:tcPr>
          <w:p>
            <w:pPr>
              <w:spacing w:after="80" w:before="80"/>
              <w:jc w:val="left"/>
            </w:pPr>
            <w:r>
              <w:rPr>
                <w:rFonts w:ascii="Arial" w:cs="Arial" w:eastAsia="Arial" w:hAnsi="Arial"/>
                <w:b w:val="false"/>
                <w:bCs w:val="false"/>
                <w:i w:val="false"/>
                <w:iCs w:val="false"/>
                <w:color w:val="404040"/>
                <w:sz w:val="18"/>
                <w:szCs w:val="18"/>
              </w:rPr>
              <w:t xml:space="preserve">Valoxi is not a spreadsheet replacement. It is a deal team in your pocket. For the price of a monthly coffee tab, acquisition entrepreneurs get the AI capability of a corporate M&amp;A team.</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2.  Who We Are Targeting</w:t>
      </w:r>
    </w:p>
    <w:p>
      <w:pPr>
        <w:pStyle w:val="Heading2"/>
        <w:spacing w:after="120" w:before="240"/>
      </w:pPr>
      <w:r>
        <w:rPr>
          <w:rFonts w:ascii="Arial" w:cs="Arial" w:eastAsia="Arial" w:hAnsi="Arial"/>
          <w:b/>
          <w:bCs/>
          <w:color w:val="1F2D4E"/>
          <w:sz w:val="24"/>
          <w:szCs w:val="24"/>
        </w:rPr>
        <w:t xml:space="preserve">2.1  Primary ICP — The Acquisition Entrepreneur</w:t>
      </w:r>
    </w:p>
    <w:p>
      <w:pPr>
        <w:spacing w:after="100" w:before="0"/>
        <w:jc w:val="left"/>
      </w:pPr>
      <w:r>
        <w:rPr>
          <w:rFonts w:ascii="Arial" w:cs="Arial" w:eastAsia="Arial" w:hAnsi="Arial"/>
          <w:b w:val="false"/>
          <w:bCs w:val="false"/>
          <w:i w:val="false"/>
          <w:iCs w:val="false"/>
          <w:color w:val="404040"/>
          <w:sz w:val="19"/>
          <w:szCs w:val="19"/>
        </w:rPr>
        <w:t xml:space="preserve">This is the person who has decided to buy a business rather than build one. They are typically 28 to 50 years old, professionally qualified or commercially experienced, and actively searching for deals in the UK SME market. They are part of the growing acquisition entrepreneur community — reading the books, following the communities, doing the courses. They know the theory. Valoxi is the tool that makes the practice manageable.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top"/>
          </w:tcPr>
          <w:p>
            <w:pPr>
              <w:spacing w:after="80" w:before="80"/>
              <w:jc w:val="left"/>
            </w:pPr>
            <w:r>
              <w:rPr>
                <w:rFonts w:ascii="Arial" w:cs="Arial" w:eastAsia="Arial" w:hAnsi="Arial"/>
                <w:b/>
                <w:bCs/>
                <w:i w:val="false"/>
                <w:iCs w:val="false"/>
                <w:color w:val="1F2D4E"/>
                <w:sz w:val="17"/>
                <w:szCs w:val="17"/>
              </w:rPr>
              <w:t xml:space="preserve">They feel...</w:t>
            </w:r>
          </w:p>
          <w:p>
            <w:pPr>
              <w:pStyle w:val="ListParagraph"/>
              <w:numPr>
                <w:ilvl w:val="0"/>
                <w:numId w:val="2"/>
              </w:numPr>
              <w:spacing w:after="40" w:before="40"/>
            </w:pPr>
            <w:r>
              <w:rPr>
                <w:rFonts w:ascii="Arial" w:cs="Arial" w:eastAsia="Arial" w:hAnsi="Arial"/>
                <w:color w:val="404040"/>
                <w:sz w:val="19"/>
                <w:szCs w:val="19"/>
              </w:rPr>
              <w:t xml:space="preserve">Overwhelmed by the complexity of their first or second deal</w:t>
            </w:r>
          </w:p>
          <w:p>
            <w:pPr>
              <w:pStyle w:val="ListParagraph"/>
              <w:numPr>
                <w:ilvl w:val="0"/>
                <w:numId w:val="2"/>
              </w:numPr>
              <w:spacing w:after="40" w:before="40"/>
            </w:pPr>
            <w:r>
              <w:rPr>
                <w:rFonts w:ascii="Arial" w:cs="Arial" w:eastAsia="Arial" w:hAnsi="Arial"/>
                <w:color w:val="404040"/>
                <w:sz w:val="19"/>
                <w:szCs w:val="19"/>
              </w:rPr>
              <w:t xml:space="preserve">Embarrassed by how unsophisticated their current tools look to sellers and advisors</w:t>
            </w:r>
          </w:p>
          <w:p>
            <w:pPr>
              <w:pStyle w:val="ListParagraph"/>
              <w:numPr>
                <w:ilvl w:val="0"/>
                <w:numId w:val="2"/>
              </w:numPr>
              <w:spacing w:after="40" w:before="40"/>
            </w:pPr>
            <w:r>
              <w:rPr>
                <w:rFonts w:ascii="Arial" w:cs="Arial" w:eastAsia="Arial" w:hAnsi="Arial"/>
                <w:color w:val="404040"/>
                <w:sz w:val="19"/>
                <w:szCs w:val="19"/>
              </w:rPr>
              <w:t xml:space="preserve">Frustrated by how long due diligence takes without structure</w:t>
            </w:r>
          </w:p>
          <w:p>
            <w:pPr>
              <w:pStyle w:val="ListParagraph"/>
              <w:numPr>
                <w:ilvl w:val="0"/>
                <w:numId w:val="2"/>
              </w:numPr>
              <w:spacing w:after="40" w:before="40"/>
            </w:pPr>
            <w:r>
              <w:rPr>
                <w:rFonts w:ascii="Arial" w:cs="Arial" w:eastAsia="Arial" w:hAnsi="Arial"/>
                <w:color w:val="404040"/>
                <w:sz w:val="19"/>
                <w:szCs w:val="19"/>
              </w:rPr>
              <w:t xml:space="preserve">Anxious about missing something important in their analysis</w:t>
            </w:r>
          </w:p>
          <w:p>
            <w:pPr>
              <w:pStyle w:val="ListParagraph"/>
              <w:numPr>
                <w:ilvl w:val="0"/>
                <w:numId w:val="2"/>
              </w:numPr>
              <w:spacing w:after="40" w:before="40"/>
            </w:pPr>
            <w:r>
              <w:rPr>
                <w:rFonts w:ascii="Arial" w:cs="Arial" w:eastAsia="Arial" w:hAnsi="Arial"/>
                <w:color w:val="404040"/>
                <w:sz w:val="19"/>
                <w:szCs w:val="19"/>
              </w:rPr>
              <w:t xml:space="preserve">Isolated — doing this without a team around them</w:t>
            </w:r>
          </w:p>
        </w:tc>
        <w:tc>
          <w:tcPr>
            <w:tcW w:type="dxa" w:w="4680"/>
            <w:tcBorders>
              <w:top w:val="single" w:color="DDDDDD" w:sz="4"/>
              <w:left w:val="single" w:color="DDDDDD" w:sz="4"/>
              <w:bottom w:val="single" w:color="DDDDDD" w:sz="4"/>
              <w:right w:val="single" w:color="DDDDDD" w:sz="4"/>
            </w:tcBorders>
            <w:shd w:fill="EBF5FB" w:val="clear"/>
            <w:tcMar>
              <w:top w:type="dxa" w:w="120"/>
              <w:left w:type="dxa" w:w="160"/>
              <w:bottom w:type="dxa" w:w="120"/>
              <w:right w:type="dxa" w:w="160"/>
            </w:tcMar>
            <w:vAlign w:val="top"/>
          </w:tcPr>
          <w:p>
            <w:pPr>
              <w:spacing w:after="80" w:before="80"/>
              <w:jc w:val="left"/>
            </w:pPr>
            <w:r>
              <w:rPr>
                <w:rFonts w:ascii="Arial" w:cs="Arial" w:eastAsia="Arial" w:hAnsi="Arial"/>
                <w:b/>
                <w:bCs/>
                <w:i w:val="false"/>
                <w:iCs w:val="false"/>
                <w:color w:val="1A5276"/>
                <w:sz w:val="17"/>
                <w:szCs w:val="17"/>
              </w:rPr>
              <w:t xml:space="preserve">Valoxi gives them...</w:t>
            </w:r>
          </w:p>
          <w:p>
            <w:pPr>
              <w:pStyle w:val="ListParagraph"/>
              <w:numPr>
                <w:ilvl w:val="0"/>
                <w:numId w:val="3"/>
              </w:numPr>
              <w:spacing w:after="40" w:before="40"/>
            </w:pPr>
            <w:r>
              <w:rPr>
                <w:rFonts w:ascii="Arial" w:cs="Arial" w:eastAsia="Arial" w:hAnsi="Arial"/>
                <w:color w:val="1E8449"/>
                <w:sz w:val="19"/>
                <w:szCs w:val="19"/>
              </w:rPr>
              <w:t xml:space="preserve">Structure and clarity — every deal managed in one place</w:t>
            </w:r>
          </w:p>
          <w:p>
            <w:pPr>
              <w:pStyle w:val="ListParagraph"/>
              <w:numPr>
                <w:ilvl w:val="0"/>
                <w:numId w:val="3"/>
              </w:numPr>
              <w:spacing w:after="40" w:before="40"/>
            </w:pPr>
            <w:r>
              <w:rPr>
                <w:rFonts w:ascii="Arial" w:cs="Arial" w:eastAsia="Arial" w:hAnsi="Arial"/>
                <w:color w:val="1E8449"/>
                <w:sz w:val="19"/>
                <w:szCs w:val="19"/>
              </w:rPr>
              <w:t xml:space="preserve">Credibility — professional documents that match what advisors expect</w:t>
            </w:r>
          </w:p>
          <w:p>
            <w:pPr>
              <w:pStyle w:val="ListParagraph"/>
              <w:numPr>
                <w:ilvl w:val="0"/>
                <w:numId w:val="3"/>
              </w:numPr>
              <w:spacing w:after="40" w:before="40"/>
            </w:pPr>
            <w:r>
              <w:rPr>
                <w:rFonts w:ascii="Arial" w:cs="Arial" w:eastAsia="Arial" w:hAnsi="Arial"/>
                <w:color w:val="1E8449"/>
                <w:sz w:val="19"/>
                <w:szCs w:val="19"/>
              </w:rPr>
              <w:t xml:space="preserve">Confidence — AI analysis catching what they might miss</w:t>
            </w:r>
          </w:p>
          <w:p>
            <w:pPr>
              <w:pStyle w:val="ListParagraph"/>
              <w:numPr>
                <w:ilvl w:val="0"/>
                <w:numId w:val="3"/>
              </w:numPr>
              <w:spacing w:after="40" w:before="40"/>
            </w:pPr>
            <w:r>
              <w:rPr>
                <w:rFonts w:ascii="Arial" w:cs="Arial" w:eastAsia="Arial" w:hAnsi="Arial"/>
                <w:color w:val="1E8449"/>
                <w:sz w:val="19"/>
                <w:szCs w:val="19"/>
              </w:rPr>
              <w:t xml:space="preserve">Speed — due diligence that takes hours not weeks</w:t>
            </w:r>
          </w:p>
          <w:p>
            <w:pPr>
              <w:pStyle w:val="ListParagraph"/>
              <w:numPr>
                <w:ilvl w:val="0"/>
                <w:numId w:val="3"/>
              </w:numPr>
              <w:spacing w:after="40" w:before="40"/>
            </w:pPr>
            <w:r>
              <w:rPr>
                <w:rFonts w:ascii="Arial" w:cs="Arial" w:eastAsia="Arial" w:hAnsi="Arial"/>
                <w:color w:val="1E8449"/>
                <w:sz w:val="19"/>
                <w:szCs w:val="19"/>
              </w:rPr>
              <w:t xml:space="preserve">A team — eight AI specialists working every deal with them</w:t>
            </w:r>
          </w:p>
        </w:tc>
      </w:tr>
    </w:tbl>
    <w:p>
      <w:pPr>
        <w:spacing w:after="120" w:before="120"/>
      </w:pPr>
    </w:p>
    <w:p>
      <w:pPr>
        <w:pStyle w:val="Heading2"/>
        <w:spacing w:after="120" w:before="240"/>
      </w:pPr>
      <w:r>
        <w:rPr>
          <w:rFonts w:ascii="Arial" w:cs="Arial" w:eastAsia="Arial" w:hAnsi="Arial"/>
          <w:b/>
          <w:bCs/>
          <w:color w:val="1F2D4E"/>
          <w:sz w:val="24"/>
          <w:szCs w:val="24"/>
        </w:rPr>
        <w:t xml:space="preserve">2.2  Where They Live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FFFFFF"/>
                <w:sz w:val="17"/>
                <w:szCs w:val="17"/>
              </w:rPr>
              <w:t xml:space="preserve">Community / Channel</w:t>
            </w:r>
          </w:p>
        </w:tc>
        <w:tc>
          <w:tcPr>
            <w:tcW w:type="dxa" w:w="6960"/>
            <w:tcBorders>
              <w:top w:val="single" w:color="DDDDDD" w:sz="4"/>
              <w:left w:val="single" w:color="DDDDDD" w:sz="4"/>
              <w:bottom w:val="single" w:color="DDDDDD" w:sz="4"/>
              <w:right w:val="single" w:color="DDDDDD" w:sz="4"/>
            </w:tcBorders>
            <w:shd w:fill="1F2D4E" w:val="clear"/>
            <w:tcMar>
              <w:top w:type="dxa" w:w="60"/>
              <w:left w:type="dxa" w:w="160"/>
              <w:bottom w:type="dxa" w:w="60"/>
              <w:right w:type="dxa" w:w="160"/>
            </w:tcMar>
            <w:vAlign w:val="center"/>
          </w:tcPr>
          <w:p>
            <w:pPr>
              <w:spacing w:after="60" w:before="60"/>
              <w:jc w:val="left"/>
            </w:pPr>
            <w:r>
              <w:rPr>
                <w:rFonts w:ascii="Arial" w:cs="Arial" w:eastAsia="Arial" w:hAnsi="Arial"/>
                <w:b/>
                <w:bCs/>
                <w:i w:val="false"/>
                <w:iCs w:val="false"/>
                <w:color w:val="FFFFFF"/>
                <w:sz w:val="17"/>
                <w:szCs w:val="17"/>
              </w:rPr>
              <w:t xml:space="preserve">Why it matters for targeting</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5D Community (our existing home base)</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Already warm. These are the people who know the methodology, are actively searching for deals and are primed to buy tools that help. This is the highest-conversion audience we have and must be activated first and hardest.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LinkedIn — acquisition entrepreneur content creators</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Huge and growing. People like Carl Allen, Jonathan Jay, Walker Deibel's followers (UK-focused). These accounts have tens of thousands of followers who are exactly our ICP. Getting in front of their audiences through content or partnership is high leverage.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Search fund and SME acquisition forums and groups</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Facebook groups, Reddit communities, Discord servers for acquisition entrepreneurs. Active, engaged, peer-recommendation-driven. One good post or recommendation from a trusted voice can drive dozens of sign-ups.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Business brokers and intermediaries</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Brokers deal with buyers daily. A broker who recommends Valoxi to every buyer they work with is a force multiplier. They want buyers to be organised and credible — Valoxi helps that directly.</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Accountants and corporate finance advisors to SMEs</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They advise on acquisitions and see buyers at every stage. A referral from an advisor carries enormous weight. Target those working in the £500k to £5m deal space.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F2D4E"/>
                <w:sz w:val="17"/>
                <w:szCs w:val="17"/>
              </w:rPr>
              <w:t xml:space="preserve">LinkedIn direct — self-identified acquisition entrepreneurs</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People who have 'acquisition entrepreneur', 'search fund', 'buying businesses' in their headline or bio. These are warm enough to cold approach with the right message.</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3.  What We Say</w:t>
      </w:r>
    </w:p>
    <w:p>
      <w:pPr>
        <w:pStyle w:val="Heading2"/>
        <w:spacing w:after="120" w:before="240"/>
      </w:pPr>
      <w:r>
        <w:rPr>
          <w:rFonts w:ascii="Arial" w:cs="Arial" w:eastAsia="Arial" w:hAnsi="Arial"/>
          <w:b/>
          <w:bCs/>
          <w:color w:val="1F2D4E"/>
          <w:sz w:val="24"/>
          <w:szCs w:val="24"/>
        </w:rPr>
        <w:t xml:space="preserve">3.1  The Primary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6"/>
              <w:left w:val="single" w:color="B8962E" w:sz="6"/>
              <w:bottom w:val="single" w:color="B8962E" w:sz="6"/>
              <w:right w:val="single" w:color="B8962E" w:sz="6"/>
            </w:tcBorders>
            <w:shd w:fill="1F2D4E" w:val="clear"/>
            <w:tcMar>
              <w:top w:type="dxa" w:w="160"/>
              <w:left w:type="dxa" w:w="300"/>
              <w:bottom w:type="dxa" w:w="160"/>
              <w:right w:type="dxa" w:w="300"/>
            </w:tcMar>
            <w:vAlign w:val="center"/>
          </w:tcPr>
          <w:p>
            <w:pPr>
              <w:spacing w:after="80" w:before="160"/>
              <w:jc w:val="center"/>
            </w:pPr>
            <w:r>
              <w:rPr>
                <w:rFonts w:ascii="Arial" w:cs="Arial" w:eastAsia="Arial" w:hAnsi="Arial"/>
                <w:b/>
                <w:bCs/>
                <w:i w:val="false"/>
                <w:iCs w:val="false"/>
                <w:color w:val="B8962E"/>
                <w:sz w:val="28"/>
                <w:szCs w:val="28"/>
              </w:rPr>
              <w:t xml:space="preserve">Your deal team. In your pocket. From £X/month.</w:t>
            </w:r>
          </w:p>
          <w:p>
            <w:pPr>
              <w:spacing w:after="160" w:before="0"/>
              <w:jc w:val="center"/>
            </w:pPr>
            <w:r>
              <w:rPr>
                <w:rFonts w:ascii="Arial" w:cs="Arial" w:eastAsia="Arial" w:hAnsi="Arial"/>
                <w:b w:val="false"/>
                <w:bCs w:val="false"/>
                <w:i w:val="false"/>
                <w:iCs w:val="false"/>
                <w:color w:val="FFFFFF"/>
                <w:sz w:val="20"/>
                <w:szCs w:val="20"/>
              </w:rPr>
              <w:t xml:space="preserve">AI-powered deal management built for UK acquisition entrepreneurs.</w:t>
            </w:r>
          </w:p>
        </w:tc>
      </w:tr>
    </w:tbl>
    <w:p>
      <w:pPr>
        <w:spacing w:after="80" w:before="80"/>
      </w:pPr>
    </w:p>
    <w:p>
      <w:pPr>
        <w:spacing w:after="100" w:before="0"/>
        <w:jc w:val="left"/>
      </w:pPr>
      <w:r>
        <w:rPr>
          <w:rFonts w:ascii="Arial" w:cs="Arial" w:eastAsia="Arial" w:hAnsi="Arial"/>
          <w:b w:val="false"/>
          <w:bCs w:val="false"/>
          <w:i w:val="false"/>
          <w:iCs w:val="false"/>
          <w:color w:val="404040"/>
          <w:sz w:val="19"/>
          <w:szCs w:val="19"/>
        </w:rPr>
        <w:t xml:space="preserve">This works because it speaks directly to the core tension the ICP feels. They are trying to do something that normally requires a team. They are doing it alone. Valoxi resolves that tension without making them feel inadequate — it positions the platform as an equaliser, not a crutch.</w:t>
      </w:r>
    </w:p>
    <w:p>
      <w:pPr>
        <w:spacing w:after="120" w:before="120"/>
      </w:pPr>
    </w:p>
    <w:p>
      <w:pPr>
        <w:pStyle w:val="Heading2"/>
        <w:spacing w:after="120" w:before="240"/>
      </w:pPr>
      <w:r>
        <w:rPr>
          <w:rFonts w:ascii="Arial" w:cs="Arial" w:eastAsia="Arial" w:hAnsi="Arial"/>
          <w:b/>
          <w:bCs/>
          <w:color w:val="1F2D4E"/>
          <w:sz w:val="24"/>
          <w:szCs w:val="24"/>
        </w:rPr>
        <w:t xml:space="preserve">3.2  The Four Proof Points — use these everywhere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8449" w:sz="4"/>
              <w:left w:val="single" w:color="1E8449" w:sz="4"/>
              <w:bottom w:val="single" w:color="1E8449" w:sz="4"/>
              <w:right w:val="single" w:color="1E8449" w:sz="4"/>
            </w:tcBorders>
            <w:shd w:fill="D5F5E3" w:val="clear"/>
            <w:tcMar>
              <w:top w:type="dxa" w:w="80"/>
              <w:left w:type="dxa" w:w="60"/>
              <w:bottom w:type="dxa" w:w="80"/>
              <w:right w:type="dxa" w:w="60"/>
            </w:tcMar>
            <w:vAlign w:val="center"/>
          </w:tcPr>
          <w:p>
            <w:pPr>
              <w:spacing w:after="0" w:before="80"/>
              <w:jc w:val="center"/>
            </w:pPr>
            <w:r>
              <w:rPr>
                <w:rFonts w:ascii="Arial" w:cs="Arial" w:eastAsia="Arial" w:hAnsi="Arial"/>
                <w:b/>
                <w:bCs/>
                <w:i w:val="false"/>
                <w:iCs w:val="false"/>
                <w:color w:val="1E8449"/>
                <w:sz w:val="40"/>
                <w:szCs w:val="40"/>
              </w:rPr>
              <w:t xml:space="preserve">8</w:t>
            </w:r>
          </w:p>
          <w:p>
            <w:pPr>
              <w:spacing w:after="80" w:before="0"/>
              <w:jc w:val="center"/>
            </w:pPr>
            <w:r>
              <w:rPr>
                <w:rFonts w:ascii="Arial" w:cs="Arial" w:eastAsia="Arial" w:hAnsi="Arial"/>
                <w:b w:val="false"/>
                <w:bCs w:val="false"/>
                <w:i w:val="false"/>
                <w:iCs w:val="false"/>
                <w:color w:val="1E8449"/>
                <w:sz w:val="15"/>
                <w:szCs w:val="15"/>
              </w:rPr>
              <w:t xml:space="preserve">AI specialists analyse every deal</w:t>
            </w:r>
          </w:p>
        </w:tc>
        <w:tc>
          <w:tcPr>
            <w:tcW w:type="dxa" w:w="2340"/>
            <w:tcBorders>
              <w:top w:val="single" w:color="1A5276" w:sz="4"/>
              <w:left w:val="single" w:color="1A5276" w:sz="4"/>
              <w:bottom w:val="single" w:color="1A5276" w:sz="4"/>
              <w:right w:val="single" w:color="1A5276" w:sz="4"/>
            </w:tcBorders>
            <w:shd w:fill="EBF5FB" w:val="clear"/>
            <w:tcMar>
              <w:top w:type="dxa" w:w="80"/>
              <w:left w:type="dxa" w:w="60"/>
              <w:bottom w:type="dxa" w:w="80"/>
              <w:right w:type="dxa" w:w="60"/>
            </w:tcMar>
            <w:vAlign w:val="center"/>
          </w:tcPr>
          <w:p>
            <w:pPr>
              <w:spacing w:after="0" w:before="80"/>
              <w:jc w:val="center"/>
            </w:pPr>
            <w:r>
              <w:rPr>
                <w:rFonts w:ascii="Arial" w:cs="Arial" w:eastAsia="Arial" w:hAnsi="Arial"/>
                <w:b/>
                <w:bCs/>
                <w:i w:val="false"/>
                <w:iCs w:val="false"/>
                <w:color w:val="1A5276"/>
                <w:sz w:val="36"/>
                <w:szCs w:val="36"/>
              </w:rPr>
              <w:t xml:space="preserve">1-click</w:t>
            </w:r>
          </w:p>
          <w:p>
            <w:pPr>
              <w:spacing w:after="80" w:before="0"/>
              <w:jc w:val="center"/>
            </w:pPr>
            <w:r>
              <w:rPr>
                <w:rFonts w:ascii="Arial" w:cs="Arial" w:eastAsia="Arial" w:hAnsi="Arial"/>
                <w:b w:val="false"/>
                <w:bCs w:val="false"/>
                <w:i w:val="false"/>
                <w:iCs w:val="false"/>
                <w:color w:val="1A5276"/>
                <w:sz w:val="15"/>
                <w:szCs w:val="15"/>
              </w:rPr>
              <w:t xml:space="preserve">NDA, offer letter, heads of terms</w:t>
            </w:r>
          </w:p>
        </w:tc>
        <w:tc>
          <w:tcPr>
            <w:tcW w:type="dxa" w:w="2340"/>
            <w:tcBorders>
              <w:top w:val="single" w:color="E67E22" w:sz="4"/>
              <w:left w:val="single" w:color="E67E22" w:sz="4"/>
              <w:bottom w:val="single" w:color="E67E22" w:sz="4"/>
              <w:right w:val="single" w:color="E67E22" w:sz="4"/>
            </w:tcBorders>
            <w:shd w:fill="FEF9E7" w:val="clear"/>
            <w:tcMar>
              <w:top w:type="dxa" w:w="80"/>
              <w:left w:type="dxa" w:w="60"/>
              <w:bottom w:type="dxa" w:w="80"/>
              <w:right w:type="dxa" w:w="60"/>
            </w:tcMar>
            <w:vAlign w:val="center"/>
          </w:tcPr>
          <w:p>
            <w:pPr>
              <w:spacing w:after="0" w:before="80"/>
              <w:jc w:val="center"/>
            </w:pPr>
            <w:r>
              <w:rPr>
                <w:rFonts w:ascii="Arial" w:cs="Arial" w:eastAsia="Arial" w:hAnsi="Arial"/>
                <w:b/>
                <w:bCs/>
                <w:i w:val="false"/>
                <w:iCs w:val="false"/>
                <w:color w:val="E67E22"/>
                <w:sz w:val="36"/>
                <w:szCs w:val="36"/>
              </w:rPr>
              <w:t xml:space="preserve">Minutes</w:t>
            </w:r>
          </w:p>
          <w:p>
            <w:pPr>
              <w:spacing w:after="80" w:before="0"/>
              <w:jc w:val="center"/>
            </w:pPr>
            <w:r>
              <w:rPr>
                <w:rFonts w:ascii="Arial" w:cs="Arial" w:eastAsia="Arial" w:hAnsi="Arial"/>
                <w:b w:val="false"/>
                <w:bCs w:val="false"/>
                <w:i w:val="false"/>
                <w:iCs w:val="false"/>
                <w:color w:val="E67E22"/>
                <w:sz w:val="15"/>
                <w:szCs w:val="15"/>
              </w:rPr>
              <w:t xml:space="preserve">not weeks for due diligence</w:t>
            </w:r>
          </w:p>
        </w:tc>
        <w:tc>
          <w:tcPr>
            <w:tcW w:type="dxa" w:w="2340"/>
            <w:tcBorders>
              <w:top w:val="single" w:color="1F2D4E" w:sz="4"/>
              <w:left w:val="single" w:color="1F2D4E" w:sz="4"/>
              <w:bottom w:val="single" w:color="1F2D4E" w:sz="4"/>
              <w:right w:val="single" w:color="1F2D4E" w:sz="4"/>
            </w:tcBorders>
            <w:shd w:fill="F5F5F5" w:val="clear"/>
            <w:tcMar>
              <w:top w:type="dxa" w:w="80"/>
              <w:left w:type="dxa" w:w="60"/>
              <w:bottom w:type="dxa" w:w="80"/>
              <w:right w:type="dxa" w:w="60"/>
            </w:tcMar>
            <w:vAlign w:val="center"/>
          </w:tcPr>
          <w:p>
            <w:pPr>
              <w:spacing w:after="0" w:before="80"/>
              <w:jc w:val="center"/>
            </w:pPr>
            <w:r>
              <w:rPr>
                <w:rFonts w:ascii="Arial" w:cs="Arial" w:eastAsia="Arial" w:hAnsi="Arial"/>
                <w:b/>
                <w:bCs/>
                <w:i w:val="false"/>
                <w:iCs w:val="false"/>
                <w:color w:val="1F2D4E"/>
                <w:sz w:val="40"/>
                <w:szCs w:val="40"/>
              </w:rPr>
              <w:t xml:space="preserve">16</w:t>
            </w:r>
          </w:p>
          <w:p>
            <w:pPr>
              <w:spacing w:after="80" w:before="0"/>
              <w:jc w:val="center"/>
            </w:pPr>
            <w:r>
              <w:rPr>
                <w:rFonts w:ascii="Arial" w:cs="Arial" w:eastAsia="Arial" w:hAnsi="Arial"/>
                <w:b w:val="false"/>
                <w:bCs w:val="false"/>
                <w:i w:val="false"/>
                <w:iCs w:val="false"/>
                <w:color w:val="1F2D4E"/>
                <w:sz w:val="15"/>
                <w:szCs w:val="15"/>
              </w:rPr>
              <w:t xml:space="preserve">paying users already using it live</w:t>
            </w:r>
          </w:p>
        </w:tc>
      </w:tr>
    </w:tbl>
    <w:p>
      <w:pPr>
        <w:spacing w:after="120" w:before="120"/>
      </w:pPr>
    </w:p>
    <w:p>
      <w:pPr>
        <w:pStyle w:val="Heading2"/>
        <w:spacing w:after="120" w:before="240"/>
      </w:pPr>
      <w:r>
        <w:rPr>
          <w:rFonts w:ascii="Arial" w:cs="Arial" w:eastAsia="Arial" w:hAnsi="Arial"/>
          <w:b/>
          <w:bCs/>
          <w:color w:val="1F2D4E"/>
          <w:sz w:val="24"/>
          <w:szCs w:val="24"/>
        </w:rPr>
        <w:t xml:space="preserve">3.3  Supporting Messages — by audience pain 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4"/>
              <w:left w:val="single" w:color="1A5276" w:sz="4"/>
              <w:bottom w:val="single" w:color="1A5276" w:sz="4"/>
              <w:right w:val="single" w:color="1A5276" w:sz="4"/>
            </w:tcBorders>
            <w:shd w:fill="EBF5FB"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A5276"/>
                <w:sz w:val="16"/>
                <w:szCs w:val="16"/>
              </w:rPr>
              <w:t xml:space="preserve">For the overwhelmed first-time buyer</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Stop juggling spreadsheets and email threads. Valoxi gives you one place for every deal — structured, tracked, and ready to share with your solicitor or funder at any moment.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6655" w:sz="4"/>
              <w:left w:val="single" w:color="0E6655" w:sz="4"/>
              <w:bottom w:val="single" w:color="0E6655" w:sz="4"/>
              <w:right w:val="single" w:color="0E6655" w:sz="4"/>
            </w:tcBorders>
            <w:shd w:fill="D5F5E3"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0E6655"/>
                <w:sz w:val="16"/>
                <w:szCs w:val="16"/>
              </w:rPr>
              <w:t xml:space="preserve">For the buyer who has lost deals due to looking unorganised</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Sellers and their brokers judge you on how you show up. One-click professional documents mean you arrive at every meeting looking like a funded buyer — because with Valoxi, you 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4"/>
              <w:left w:val="single" w:color="1A5276" w:sz="4"/>
              <w:bottom w:val="single" w:color="1A5276" w:sz="4"/>
              <w:right w:val="single" w:color="1A5276" w:sz="4"/>
            </w:tcBorders>
            <w:shd w:fill="EBF5FB"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A5276"/>
                <w:sz w:val="16"/>
                <w:szCs w:val="16"/>
              </w:rPr>
              <w:t xml:space="preserve">For the buyer who worries about what they are missing</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Eight AI specialists review every deal alongside you. Financials, legal exposure, operational risks, market dynamics. The blind spots that sink deals get flagged before you are in too deep.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E6655" w:sz="4"/>
              <w:left w:val="single" w:color="0E6655" w:sz="4"/>
              <w:bottom w:val="single" w:color="0E6655" w:sz="4"/>
              <w:right w:val="single" w:color="0E6655" w:sz="4"/>
            </w:tcBorders>
            <w:shd w:fill="D5F5E3"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0E6655"/>
                <w:sz w:val="16"/>
                <w:szCs w:val="16"/>
              </w:rPr>
              <w:t xml:space="preserve">For the buyer who dreads due diligence</w:t>
            </w:r>
          </w:p>
        </w:tc>
        <w:tc>
          <w:tcPr>
            <w:tcW w:type="dxa" w:w="69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Valoxi structures your DD process from day one. Checklist-driven, documented, tracked. Nothing falls through the cracks. And when your funder asks for the DD pack, it is already built.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4"/>
              <w:left w:val="single" w:color="1A5276" w:sz="4"/>
              <w:bottom w:val="single" w:color="1A5276" w:sz="4"/>
              <w:right w:val="single" w:color="1A5276" w:sz="4"/>
            </w:tcBorders>
            <w:shd w:fill="EBF5FB"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1A5276"/>
                <w:sz w:val="16"/>
                <w:szCs w:val="16"/>
              </w:rPr>
              <w:t xml:space="preserve">For the buyer who wants to move faster</w:t>
            </w:r>
          </w:p>
        </w:tc>
        <w:tc>
          <w:tcPr>
            <w:tcW w:type="dxa" w:w="69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The deal modeller shows you the economics in real time. EV, equity bridge, debt service, returns. Understand whether the deal works before you spend money on advisors finding out it does not.</w:t>
            </w:r>
          </w:p>
        </w:tc>
      </w:tr>
    </w:tbl>
    <w:p>
      <w:pPr>
        <w:spacing w:after="120" w:before="120"/>
      </w:pPr>
    </w:p>
    <w:p>
      <w:pPr>
        <w:pStyle w:val="Heading2"/>
        <w:spacing w:after="120" w:before="240"/>
      </w:pPr>
      <w:r>
        <w:rPr>
          <w:rFonts w:ascii="Arial" w:cs="Arial" w:eastAsia="Arial" w:hAnsi="Arial"/>
          <w:b/>
          <w:bCs/>
          <w:color w:val="1F2D4E"/>
          <w:sz w:val="24"/>
          <w:szCs w:val="24"/>
        </w:rPr>
        <w:t xml:space="preserve">3.4  What NOT to say</w:t>
      </w:r>
    </w:p>
    <w:p>
      <w:pPr>
        <w:pStyle w:val="ListParagraph"/>
        <w:numPr>
          <w:ilvl w:val="0"/>
          <w:numId w:val="4"/>
        </w:numPr>
        <w:spacing w:after="40" w:before="40"/>
      </w:pPr>
      <w:r>
        <w:rPr>
          <w:rFonts w:ascii="Arial" w:cs="Arial" w:eastAsia="Arial" w:hAnsi="Arial"/>
          <w:color w:val="C0392B"/>
          <w:sz w:val="19"/>
          <w:szCs w:val="19"/>
        </w:rPr>
        <w:t xml:space="preserve">Do not lead with features — lead with the outcome. Not 'eight Gemini agents' but 'AI analysis that catches what you might miss'</w:t>
      </w:r>
    </w:p>
    <w:p>
      <w:pPr>
        <w:pStyle w:val="ListParagraph"/>
        <w:numPr>
          <w:ilvl w:val="0"/>
          <w:numId w:val="4"/>
        </w:numPr>
        <w:spacing w:after="40" w:before="40"/>
      </w:pPr>
      <w:r>
        <w:rPr>
          <w:rFonts w:ascii="Arial" w:cs="Arial" w:eastAsia="Arial" w:hAnsi="Arial"/>
          <w:color w:val="C0392B"/>
          <w:sz w:val="19"/>
          <w:szCs w:val="19"/>
        </w:rPr>
        <w:t xml:space="preserve">Do not use M&amp;A industry jargon in public-facing content — the ICP knows enough but does not want to feel like they are back in a corporate job</w:t>
      </w:r>
    </w:p>
    <w:p>
      <w:pPr>
        <w:pStyle w:val="ListParagraph"/>
        <w:numPr>
          <w:ilvl w:val="0"/>
          <w:numId w:val="4"/>
        </w:numPr>
        <w:spacing w:after="40" w:before="40"/>
      </w:pPr>
      <w:r>
        <w:rPr>
          <w:rFonts w:ascii="Arial" w:cs="Arial" w:eastAsia="Arial" w:hAnsi="Arial"/>
          <w:color w:val="C0392B"/>
          <w:sz w:val="19"/>
          <w:szCs w:val="19"/>
        </w:rPr>
        <w:t xml:space="preserve">Do not position as 'software' — position as a capability. It is not a tool, it is a deal team</w:t>
      </w:r>
    </w:p>
    <w:p>
      <w:pPr>
        <w:pStyle w:val="ListParagraph"/>
        <w:numPr>
          <w:ilvl w:val="0"/>
          <w:numId w:val="4"/>
        </w:numPr>
        <w:spacing w:after="40" w:before="40"/>
      </w:pPr>
      <w:r>
        <w:rPr>
          <w:rFonts w:ascii="Arial" w:cs="Arial" w:eastAsia="Arial" w:hAnsi="Arial"/>
          <w:color w:val="C0392B"/>
          <w:sz w:val="19"/>
          <w:szCs w:val="19"/>
        </w:rPr>
        <w:t xml:space="preserve">Do not make it sound like a subscription box — this is an investment in deal quality and success rate, not a monthly SaaS fee</w:t>
      </w:r>
    </w:p>
    <w:p>
      <w:pPr>
        <w:pStyle w:val="ListParagraph"/>
        <w:numPr>
          <w:ilvl w:val="0"/>
          <w:numId w:val="4"/>
        </w:numPr>
        <w:spacing w:after="40" w:before="40"/>
      </w:pPr>
      <w:r>
        <w:rPr>
          <w:rFonts w:ascii="Arial" w:cs="Arial" w:eastAsia="Arial" w:hAnsi="Arial"/>
          <w:color w:val="C0392B"/>
          <w:sz w:val="19"/>
          <w:szCs w:val="19"/>
        </w:rPr>
        <w:t xml:space="preserve">Do not compare to Excel or Notion — that frames it as a workflow tool. It is not. It is an advisory upgrade</w:t>
      </w:r>
    </w:p>
    <w:p>
      <w:pPr>
        <w:spacing w:after="160" w:before="160"/>
      </w:pPr>
    </w:p>
    <w:p>
      <w:r>
        <w:br w:type="page"/>
      </w:r>
    </w:p>
    <w:p>
      <w:pPr>
        <w:pStyle w:val="Heading1"/>
        <w:spacing w:after="160" w:before="320"/>
      </w:pPr>
      <w:r>
        <w:rPr>
          <w:rFonts w:ascii="Arial" w:cs="Arial" w:eastAsia="Arial" w:hAnsi="Arial"/>
          <w:b/>
          <w:bCs/>
          <w:color w:val="1F2D4E"/>
          <w:sz w:val="32"/>
          <w:szCs w:val="32"/>
        </w:rPr>
        <w:t xml:space="preserve">4.  The 25-Day Sprint Plan —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67E22" w:sz="6"/>
              <w:left w:val="single" w:color="E67E22" w:sz="6"/>
              <w:bottom w:val="single" w:color="E67E22" w:sz="6"/>
              <w:right w:val="single" w:color="E67E22" w:sz="6"/>
            </w:tcBorders>
            <w:shd w:fill="FEF9E7" w:val="clear"/>
            <w:tcMar>
              <w:top w:type="dxa" w:w="100"/>
              <w:left w:type="dxa" w:w="120"/>
              <w:bottom w:type="dxa" w:w="100"/>
              <w:right w:type="dxa" w:w="120"/>
            </w:tcMar>
            <w:vAlign w:val="center"/>
          </w:tcPr>
          <w:p>
            <w:pPr>
              <w:spacing w:after="80" w:before="80"/>
              <w:jc w:val="left"/>
            </w:pPr>
            <w:r>
              <w:rPr>
                <w:rFonts w:ascii="Arial" w:cs="Arial" w:eastAsia="Arial" w:hAnsi="Arial"/>
                <w:b/>
                <w:bCs/>
                <w:i w:val="false"/>
                <w:iCs w:val="false"/>
                <w:color w:val="E67E22"/>
                <w:sz w:val="18"/>
                <w:szCs w:val="18"/>
              </w:rPr>
              <w:t xml:space="preserve">The principle</w:t>
            </w:r>
          </w:p>
        </w:tc>
        <w:tc>
          <w:tcPr>
            <w:tcW w:type="dxa" w:w="7360"/>
            <w:tcBorders>
              <w:top w:val="single" w:color="DDDDDD" w:sz="4"/>
              <w:left w:val="single" w:color="DDDDDD" w:sz="4"/>
              <w:bottom w:val="single" w:color="DDDDDD" w:sz="4"/>
              <w:right w:val="single" w:color="DDDDDD" w:sz="4"/>
            </w:tcBorders>
            <w:shd w:fill="FEF9E7" w:val="clear"/>
            <w:tcMar>
              <w:top w:type="dxa" w:w="80"/>
              <w:left w:type="dxa" w:w="160"/>
              <w:bottom w:type="dxa" w:w="80"/>
              <w:right w:type="dxa" w:w="160"/>
            </w:tcMar>
            <w:vAlign w:val="center"/>
          </w:tcPr>
          <w:p>
            <w:pPr>
              <w:spacing w:after="80" w:before="80"/>
              <w:jc w:val="left"/>
            </w:pPr>
            <w:r>
              <w:rPr>
                <w:rFonts w:ascii="Arial" w:cs="Arial" w:eastAsia="Arial" w:hAnsi="Arial"/>
                <w:b w:val="false"/>
                <w:bCs w:val="false"/>
                <w:i w:val="false"/>
                <w:iCs w:val="false"/>
                <w:color w:val="404040"/>
                <w:sz w:val="18"/>
                <w:szCs w:val="18"/>
              </w:rPr>
              <w:t xml:space="preserve">Every channel runs simultaneously from day one. This is not a phased launch — it is a flood. Speed and volume matter more than perfection. Get the message out, iterate on what works, double down on the highest-converting channels.</w:t>
            </w:r>
          </w:p>
        </w:tc>
      </w:tr>
    </w:tbl>
    <w:p>
      <w:pPr>
        <w:spacing w:after="80" w:before="80"/>
      </w:pPr>
    </w:p>
    <w:p>
      <w:pPr>
        <w:pStyle w:val="Heading2"/>
        <w:spacing w:after="120" w:before="240"/>
      </w:pPr>
      <w:r>
        <w:rPr>
          <w:rFonts w:ascii="Arial" w:cs="Arial" w:eastAsia="Arial" w:hAnsi="Arial"/>
          <w:b/>
          <w:bCs/>
          <w:color w:val="1F2D4E"/>
          <w:sz w:val="24"/>
          <w:szCs w:val="24"/>
        </w:rPr>
        <w:t xml:space="preserve">Week 1 — Days 1 to 7: Activate the Warm Base</w:t>
      </w:r>
    </w:p>
    <w:p>
      <w:pPr>
        <w:spacing w:after="100" w:before="0"/>
        <w:jc w:val="left"/>
      </w:pPr>
      <w:r>
        <w:rPr>
          <w:rFonts w:ascii="Arial" w:cs="Arial" w:eastAsia="Arial" w:hAnsi="Arial"/>
          <w:b w:val="false"/>
          <w:bCs w:val="false"/>
          <w:i w:val="false"/>
          <w:iCs w:val="false"/>
          <w:color w:val="404040"/>
          <w:sz w:val="19"/>
          <w:szCs w:val="19"/>
        </w:rPr>
        <w:t xml:space="preserve">The fastest conversions will come from the warmest audience. Week 1 is entirely focused on people who already know who we are, what we do, or are part of the communities we operate in.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5D Community — direct outreach</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This is the highest-priority action in the entire sprint. Every 5D member who is not already on Valoxi gets a personal message. Not a blast — a personal note from Adam referencing what they are working on and how Valoxi helps that specific thing. Target: 30 conversations started, 15 sign-ups.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Email to existing warm list</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Any email list, newsletter subscribers, people who have ever expressed interest. Subject line: 'We went live. Here is what Valoxi does.' Short, direct, one CTA. Link to a demo video or the platform. Target: 500 emails, 20% open rate, 5% conversion.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LinkedIn announcement post — Adam</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 personal post from Adam as Founder. Not a product launch graphic — a genuine post about what Valoxi is, why it was built, who it is for, and a direct invitation to sign up. Tag the 16 existing users and ask them to share if they find it useful. Target: 10,000 impressions, 50 profile visits, 10 sign-ups.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Ask the 16 for testimonials</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 direct message to every existing paying user. Ask for one sentence about what Valoxi has changed for them. These testimonials become social proof for every channel this week and beyond. Target: 10 responses within 48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Jag — direct LinkedIn outreach</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Jag as CCO starts a targeted outreach campaign to acquisition entrepreneurs identified on LinkedIn by bio/headline. Personal messages, not spam. 20 a day, personalised, referencing their publicly visible deal search. Target: 100 conversations, 10 sign-ups by end of week.</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single" w:color="1E8449" w:sz="6"/>
              <w:right w:val="single" w:color="1E8449" w:sz="6"/>
            </w:tcBorders>
            <w:shd w:fill="1E8449" w:val="clear"/>
            <w:tcMar>
              <w:top w:type="dxa" w:w="100"/>
              <w:left w:type="dxa" w:w="200"/>
              <w:bottom w:type="dxa" w:w="100"/>
              <w:right w:type="dxa" w:w="200"/>
            </w:tcMar>
            <w:vAlign w:val="center"/>
          </w:tcPr>
          <w:p>
            <w:pPr>
              <w:spacing w:after="100" w:before="100"/>
              <w:jc w:val="left"/>
            </w:pPr>
            <w:r>
              <w:rPr>
                <w:rFonts w:ascii="Arial" w:cs="Arial" w:eastAsia="Arial" w:hAnsi="Arial"/>
                <w:b/>
                <w:bCs/>
                <w:i w:val="false"/>
                <w:iCs w:val="false"/>
                <w:color w:val="FFFFFF"/>
                <w:sz w:val="20"/>
                <w:szCs w:val="20"/>
              </w:rPr>
              <w:t xml:space="preserve">Week 1 target: 25 new paying users (total: 41)</w:t>
            </w:r>
          </w:p>
        </w:tc>
      </w:tr>
    </w:tbl>
    <w:p>
      <w:pPr>
        <w:spacing w:after="120" w:before="120"/>
      </w:pPr>
    </w:p>
    <w:p>
      <w:pPr>
        <w:pStyle w:val="Heading2"/>
        <w:spacing w:after="120" w:before="240"/>
      </w:pPr>
      <w:r>
        <w:rPr>
          <w:rFonts w:ascii="Arial" w:cs="Arial" w:eastAsia="Arial" w:hAnsi="Arial"/>
          <w:b/>
          <w:bCs/>
          <w:color w:val="1F2D4E"/>
          <w:sz w:val="24"/>
          <w:szCs w:val="24"/>
        </w:rPr>
        <w:t xml:space="preserve">Week 2 — Days 8 to 14: Content and Community</w:t>
      </w:r>
    </w:p>
    <w:p>
      <w:pPr>
        <w:spacing w:after="100" w:before="0"/>
        <w:jc w:val="left"/>
      </w:pPr>
      <w:r>
        <w:rPr>
          <w:rFonts w:ascii="Arial" w:cs="Arial" w:eastAsia="Arial" w:hAnsi="Arial"/>
          <w:b w:val="false"/>
          <w:bCs w:val="false"/>
          <w:i w:val="false"/>
          <w:iCs w:val="false"/>
          <w:color w:val="404040"/>
          <w:sz w:val="19"/>
          <w:szCs w:val="19"/>
        </w:rPr>
        <w:t xml:space="preserve">Week 2 amplifies the message through content and community channels. The testimonials from Week 1 become fuel for this week. We are building credibility and reaching audiences that did not know Valoxi existed.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LinkedIn content series — Adam and Dee</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Post every day this week. Not product posts — educational content about deal analysis, due diligence mistakes, how to structure an offer. Valoxi gets mentioned naturally as the tool that supports this. The acquisition entrepreneur audience on LinkedIn is large and engaged. This builds awareness that converts over days not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Acquisition entrepreneur Facebook and Discord groups</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Organic posts in the key communities. Not spam — genuine participation. 'I built a tool for people like us, here is what it does, here is a free trial if you want to try it.' Identify the most active groups and get in front of them this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Business broker outreach — Jag</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Identify 50 active UK business brokers. Reach out with a simple proposition: Valoxi makes your buyers more organised and credible. When buyers come to you better prepared, deals go smoother. Offer to demo. Target: 10 demos booked, 5 broker partnerships that refer buyers.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Demo video published</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 3-minute screen recording showing the platform in action. Deal analysis running. Document generation. The deal modeller. No voiceover script — just Adam walking through a real example. Publish on LinkedIn, YouTube and embed on the website. This becomes the single most important conversion asset.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Podcast and newsletter outreach — Dee</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Identify the 10 most listened-to podcasts and newsletters in the UK acquisition entrepreneur space. Pitch Adam as a guest or Valoxi as a tool worth covering. Aim for at least 2 confirmations this week for recordings in weeks 3 and 4.</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single" w:color="1E8449" w:sz="6"/>
              <w:right w:val="single" w:color="1E8449" w:sz="6"/>
            </w:tcBorders>
            <w:shd w:fill="1E8449" w:val="clear"/>
            <w:tcMar>
              <w:top w:type="dxa" w:w="100"/>
              <w:left w:type="dxa" w:w="200"/>
              <w:bottom w:type="dxa" w:w="100"/>
              <w:right w:type="dxa" w:w="200"/>
            </w:tcMar>
            <w:vAlign w:val="center"/>
          </w:tcPr>
          <w:p>
            <w:pPr>
              <w:spacing w:after="100" w:before="100"/>
              <w:jc w:val="left"/>
            </w:pPr>
            <w:r>
              <w:rPr>
                <w:rFonts w:ascii="Arial" w:cs="Arial" w:eastAsia="Arial" w:hAnsi="Arial"/>
                <w:b/>
                <w:bCs/>
                <w:i w:val="false"/>
                <w:iCs w:val="false"/>
                <w:color w:val="FFFFFF"/>
                <w:sz w:val="20"/>
                <w:szCs w:val="20"/>
              </w:rPr>
              <w:t xml:space="preserve">Week 2 target: 25 new paying users (total: 66)</w:t>
            </w:r>
          </w:p>
        </w:tc>
      </w:tr>
    </w:tbl>
    <w:p>
      <w:pPr>
        <w:spacing w:after="120" w:before="120"/>
      </w:pPr>
    </w:p>
    <w:p>
      <w:pPr>
        <w:pStyle w:val="Heading2"/>
        <w:spacing w:after="120" w:before="240"/>
      </w:pPr>
      <w:r>
        <w:rPr>
          <w:rFonts w:ascii="Arial" w:cs="Arial" w:eastAsia="Arial" w:hAnsi="Arial"/>
          <w:b/>
          <w:bCs/>
          <w:color w:val="1F2D4E"/>
          <w:sz w:val="24"/>
          <w:szCs w:val="24"/>
        </w:rPr>
        <w:t xml:space="preserve">Week 3 — Days 15 to 21: Amplification and Referral</w:t>
      </w:r>
    </w:p>
    <w:p>
      <w:pPr>
        <w:spacing w:after="100" w:before="0"/>
        <w:jc w:val="left"/>
      </w:pPr>
      <w:r>
        <w:rPr>
          <w:rFonts w:ascii="Arial" w:cs="Arial" w:eastAsia="Arial" w:hAnsi="Arial"/>
          <w:b w:val="false"/>
          <w:bCs w:val="false"/>
          <w:i w:val="false"/>
          <w:iCs w:val="false"/>
          <w:color w:val="404040"/>
          <w:sz w:val="19"/>
          <w:szCs w:val="19"/>
        </w:rPr>
        <w:t xml:space="preserve">By week 3 we should have 60+ paying users. That base becomes the marketing engine. Referral, word of mouth and the compounding effect of the content published in weeks 1 and 2 drive this week.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Launch a referral mechanic</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Every existing user gets a personal referral link. A successful referral gets them one month free. Simple, trackable, motivating. An acquisition entrepreneur community is tight-knit — peer recommendation is the most powerful acquisition channel available to 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LinkedIn paid — targeted campaign</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 small paid campaign targeting LinkedIn members with 'acquisition entrepreneur', 'buying businesses', 'search fund', 'business buyer' in their headline. Budget: £500 over the week. Creative: one of the testimonial quotes as the hook, direct link to sign up. If it converts at 5%, that is 10 to 15 sign-ups from £500 spent.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Podcast recordings if confirmed from week 2</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Get Adam in front of acquisition entrepreneur audiences as a guest. The pitch is not about Valoxi specifically — it is about how he built the tool because he could not find one that worked, and what good deal management looks like. Valoxi is the natural conclusion.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Follow-up sequence — Jag</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Anyone who showed interest in weeks 1 and 2 but did not convert gets a follow-up this week. Not aggressive — a simple 'Did you get a chance to look at it? Here is a 3-minute demo.' Target: 30% of warm leads convert on follow-up.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Accountant and advisor outreach</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25 UK accountants and corporate finance advisors who work in SME acquisitions. Position Valoxi as a tool that makes their buyer clients more credible and their own due diligence support easier. A referral fee or commission structure could accelerate this — worth discussing.</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single" w:color="1E8449" w:sz="6"/>
              <w:right w:val="single" w:color="1E8449" w:sz="6"/>
            </w:tcBorders>
            <w:shd w:fill="1E8449" w:val="clear"/>
            <w:tcMar>
              <w:top w:type="dxa" w:w="100"/>
              <w:left w:type="dxa" w:w="200"/>
              <w:bottom w:type="dxa" w:w="100"/>
              <w:right w:type="dxa" w:w="200"/>
            </w:tcMar>
            <w:vAlign w:val="center"/>
          </w:tcPr>
          <w:p>
            <w:pPr>
              <w:spacing w:after="100" w:before="100"/>
              <w:jc w:val="left"/>
            </w:pPr>
            <w:r>
              <w:rPr>
                <w:rFonts w:ascii="Arial" w:cs="Arial" w:eastAsia="Arial" w:hAnsi="Arial"/>
                <w:b/>
                <w:bCs/>
                <w:i w:val="false"/>
                <w:iCs w:val="false"/>
                <w:color w:val="FFFFFF"/>
                <w:sz w:val="20"/>
                <w:szCs w:val="20"/>
              </w:rPr>
              <w:t xml:space="preserve">Week 3 target: 20 new paying users (total: 86)</w:t>
            </w:r>
          </w:p>
        </w:tc>
      </w:tr>
    </w:tbl>
    <w:p>
      <w:pPr>
        <w:spacing w:after="120" w:before="120"/>
      </w:pPr>
    </w:p>
    <w:p>
      <w:pPr>
        <w:pStyle w:val="Heading2"/>
        <w:spacing w:after="120" w:before="240"/>
      </w:pPr>
      <w:r>
        <w:rPr>
          <w:rFonts w:ascii="Arial" w:cs="Arial" w:eastAsia="Arial" w:hAnsi="Arial"/>
          <w:b/>
          <w:bCs/>
          <w:color w:val="1F2D4E"/>
          <w:sz w:val="24"/>
          <w:szCs w:val="24"/>
        </w:rPr>
        <w:t xml:space="preserve">Week 4 — Days 22 to 25: Close and Convert</w:t>
      </w:r>
    </w:p>
    <w:p>
      <w:pPr>
        <w:spacing w:after="100" w:before="0"/>
        <w:jc w:val="left"/>
      </w:pPr>
      <w:r>
        <w:rPr>
          <w:rFonts w:ascii="Arial" w:cs="Arial" w:eastAsia="Arial" w:hAnsi="Arial"/>
          <w:b w:val="false"/>
          <w:bCs w:val="false"/>
          <w:i w:val="false"/>
          <w:iCs w:val="false"/>
          <w:color w:val="404040"/>
          <w:sz w:val="19"/>
          <w:szCs w:val="19"/>
        </w:rPr>
        <w:t xml:space="preserve">The final four days are about converting everyone who has shown interest but not yet signed up. This is a closing sprint, not a prospecting sprint.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Final push email to all warm contacts</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Everyone who has engaged but not converted gets one more message. Personal from Adam. Simple: 'We are nearly at 100 users. I wanted to make sure you had a chance to get in before we close the founding member window.' Create urgency without fabricating it — this is a genuine milestone.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Founding member offer — if needed</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If we are short of 100 with 3 days to go, activate a founding member offer: the first 100 users lock in the current price for life, or get an additional feature, or get direct access to Adam for onboarding support. This is not a discount — it is a status play. Acquisition entrepreneurs respond to exclusivity.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Ask every existing user to share</w:t>
            </w:r>
          </w:p>
        </w:tc>
        <w:tc>
          <w:tcPr>
            <w:tcW w:type="dxa" w:w="65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 personal message to all 80+ users by this point. 'We are 14 away from 100. If you know someone who would benefit, now is the time to share.' Peer recommendation from a trusted community member converts at very high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LinkedIn milestone post</w:t>
            </w:r>
          </w:p>
        </w:tc>
        <w:tc>
          <w:tcPr>
            <w:tcW w:type="dxa" w:w="65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 post celebrating the journey from 16 to nearly 100. Genuine, not corporate. Thank the early users by name. Make it feel like a community milestone, not a product announcement. This post drives the final sign-ups through FOMO and genuine enthusiasm.</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single" w:color="1E8449" w:sz="6"/>
              <w:right w:val="single" w:color="1E8449" w:sz="6"/>
            </w:tcBorders>
            <w:shd w:fill="1E8449" w:val="clear"/>
            <w:tcMar>
              <w:top w:type="dxa" w:w="100"/>
              <w:left w:type="dxa" w:w="200"/>
              <w:bottom w:type="dxa" w:w="100"/>
              <w:right w:type="dxa" w:w="200"/>
            </w:tcMar>
            <w:vAlign w:val="center"/>
          </w:tcPr>
          <w:p>
            <w:pPr>
              <w:spacing w:after="100" w:before="100"/>
              <w:jc w:val="left"/>
            </w:pPr>
            <w:r>
              <w:rPr>
                <w:rFonts w:ascii="Arial" w:cs="Arial" w:eastAsia="Arial" w:hAnsi="Arial"/>
                <w:b/>
                <w:bCs/>
                <w:i w:val="false"/>
                <w:iCs w:val="false"/>
                <w:color w:val="FFFFFF"/>
                <w:sz w:val="20"/>
                <w:szCs w:val="20"/>
              </w:rPr>
              <w:t xml:space="preserve">Week 4 target: 14 new paying users (total: 100)</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5.  Channel Strategy and Priority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DDDDD" w:sz="4"/>
              <w:left w:val="single" w:color="DDDDDD" w:sz="4"/>
              <w:bottom w:val="single" w:color="DDDDDD" w:sz="4"/>
              <w:right w:val="single" w:color="DDDDDD"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FFFFFF"/>
                <w:sz w:val="17"/>
                <w:szCs w:val="17"/>
              </w:rPr>
              <w:t xml:space="preserve">Channel</w:t>
            </w:r>
          </w:p>
        </w:tc>
        <w:tc>
          <w:tcPr>
            <w:tcW w:type="dxa" w:w="1200"/>
            <w:tcBorders>
              <w:top w:val="single" w:color="DDDDDD" w:sz="4"/>
              <w:left w:val="single" w:color="DDDDDD" w:sz="4"/>
              <w:bottom w:val="single" w:color="DDDDDD" w:sz="4"/>
              <w:right w:val="single" w:color="DDDDDD" w:sz="4"/>
            </w:tcBorders>
            <w:shd w:fill="1F2D4E" w:val="clear"/>
            <w:tcMar>
              <w:top w:type="dxa" w:w="60"/>
              <w:left w:type="dxa" w:w="60"/>
              <w:bottom w:type="dxa" w:w="60"/>
              <w:right w:type="dxa" w:w="60"/>
            </w:tcMar>
            <w:vAlign w:val="center"/>
          </w:tcPr>
          <w:p>
            <w:pPr>
              <w:spacing w:after="60" w:before="60"/>
              <w:jc w:val="center"/>
            </w:pPr>
            <w:r>
              <w:rPr>
                <w:rFonts w:ascii="Arial" w:cs="Arial" w:eastAsia="Arial" w:hAnsi="Arial"/>
                <w:b/>
                <w:bCs/>
                <w:i w:val="false"/>
                <w:iCs w:val="false"/>
                <w:color w:val="FFFFFF"/>
                <w:sz w:val="17"/>
                <w:szCs w:val="17"/>
              </w:rPr>
              <w:t xml:space="preserve">Priority</w:t>
            </w:r>
          </w:p>
        </w:tc>
        <w:tc>
          <w:tcPr>
            <w:tcW w:type="dxa" w:w="5760"/>
            <w:tcBorders>
              <w:top w:val="single" w:color="DDDDDD" w:sz="4"/>
              <w:left w:val="single" w:color="DDDDDD" w:sz="4"/>
              <w:bottom w:val="single" w:color="DDDDDD" w:sz="4"/>
              <w:right w:val="single" w:color="DDDDDD" w:sz="4"/>
            </w:tcBorders>
            <w:shd w:fill="1F2D4E" w:val="clear"/>
            <w:tcMar>
              <w:top w:type="dxa" w:w="60"/>
              <w:left w:type="dxa" w:w="160"/>
              <w:bottom w:type="dxa" w:w="60"/>
              <w:right w:type="dxa" w:w="160"/>
            </w:tcMar>
            <w:vAlign w:val="center"/>
          </w:tcPr>
          <w:p>
            <w:pPr>
              <w:spacing w:after="60" w:before="60"/>
              <w:jc w:val="left"/>
            </w:pPr>
            <w:r>
              <w:rPr>
                <w:rFonts w:ascii="Arial" w:cs="Arial" w:eastAsia="Arial" w:hAnsi="Arial"/>
                <w:b/>
                <w:bCs/>
                <w:i w:val="false"/>
                <w:iCs w:val="false"/>
                <w:color w:val="FFFFFF"/>
                <w:sz w:val="17"/>
                <w:szCs w:val="17"/>
              </w:rPr>
              <w:t xml:space="preserve">Expected conversion rate and volume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5D community direct outreach</w:t>
            </w:r>
          </w:p>
        </w:tc>
        <w:tc>
          <w:tcPr>
            <w:tcW w:type="dxa" w:w="12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CRITICAL</w:t>
            </w:r>
          </w:p>
        </w:tc>
        <w:tc>
          <w:tcPr>
            <w:tcW w:type="dxa" w:w="57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Highest conversion. Warm, trust-based, community-endorsed. Every non-user gets a personal message. Target 15+ sign-ups from this channel alone.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Existing warm contacts and email list</w:t>
            </w:r>
          </w:p>
        </w:tc>
        <w:tc>
          <w:tcPr>
            <w:tcW w:type="dxa" w:w="12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CRITICAL</w:t>
            </w:r>
          </w:p>
        </w:tc>
        <w:tc>
          <w:tcPr>
            <w:tcW w:type="dxa" w:w="57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Second-highest conversion. These people already know the name. Simple email with demo video link. Target 10+ sign-ups.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LinkedIn personal content (Adam)</w:t>
            </w:r>
          </w:p>
        </w:tc>
        <w:tc>
          <w:tcPr>
            <w:tcW w:type="dxa" w:w="1200"/>
            <w:tcBorders>
              <w:top w:val="single" w:color="E67E22" w:sz="4"/>
              <w:left w:val="single" w:color="E67E22" w:sz="4"/>
              <w:bottom w:val="single" w:color="E67E22" w:sz="4"/>
              <w:right w:val="single" w:color="E67E22" w:sz="4"/>
            </w:tcBorders>
            <w:shd w:fill="FEF9E7"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E67E22"/>
                <w:sz w:val="14"/>
                <w:szCs w:val="14"/>
              </w:rPr>
              <w:t xml:space="preserve">HIGH</w:t>
            </w:r>
          </w:p>
        </w:tc>
        <w:tc>
          <w:tcPr>
            <w:tcW w:type="dxa" w:w="57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Medium conversion but high volume reach. Compounds over the sprint. Each post reaches 2,000 to 10,000 people. Target 20 sign-ups cumulative.</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LinkedIn direct outreach (Jag)</w:t>
            </w:r>
          </w:p>
        </w:tc>
        <w:tc>
          <w:tcPr>
            <w:tcW w:type="dxa" w:w="1200"/>
            <w:tcBorders>
              <w:top w:val="single" w:color="E67E22" w:sz="4"/>
              <w:left w:val="single" w:color="E67E22" w:sz="4"/>
              <w:bottom w:val="single" w:color="E67E22" w:sz="4"/>
              <w:right w:val="single" w:color="E67E22" w:sz="4"/>
            </w:tcBorders>
            <w:shd w:fill="FEF9E7"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E67E22"/>
                <w:sz w:val="14"/>
                <w:szCs w:val="14"/>
              </w:rPr>
              <w:t xml:space="preserve">HIGH</w:t>
            </w:r>
          </w:p>
        </w:tc>
        <w:tc>
          <w:tcPr>
            <w:tcW w:type="dxa" w:w="57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Targeted, personal, scalable. 20 messages per day across 25 days = 500 conversations. At 5% conversion = 25 sign-ups.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Acquisition entrepreneur communities</w:t>
            </w:r>
          </w:p>
        </w:tc>
        <w:tc>
          <w:tcPr>
            <w:tcW w:type="dxa" w:w="1200"/>
            <w:tcBorders>
              <w:top w:val="single" w:color="E67E22" w:sz="4"/>
              <w:left w:val="single" w:color="E67E22" w:sz="4"/>
              <w:bottom w:val="single" w:color="E67E22" w:sz="4"/>
              <w:right w:val="single" w:color="E67E22" w:sz="4"/>
            </w:tcBorders>
            <w:shd w:fill="FEF9E7"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E67E22"/>
                <w:sz w:val="14"/>
                <w:szCs w:val="14"/>
              </w:rPr>
              <w:t xml:space="preserve">HIGH</w:t>
            </w:r>
          </w:p>
        </w:tc>
        <w:tc>
          <w:tcPr>
            <w:tcW w:type="dxa" w:w="57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Peer recommendation in trusted communities converts very well. One well-placed post can drive 10 to 20 sign-ups in 24 hours.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Referral mechanic</w:t>
            </w:r>
          </w:p>
        </w:tc>
        <w:tc>
          <w:tcPr>
            <w:tcW w:type="dxa" w:w="12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4"/>
                <w:szCs w:val="14"/>
              </w:rPr>
              <w:t xml:space="preserve">HIGH</w:t>
            </w:r>
          </w:p>
        </w:tc>
        <w:tc>
          <w:tcPr>
            <w:tcW w:type="dxa" w:w="57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Turns existing users into a sales team. A tight-knit community with mutual trust. Even a 10% referral rate from 50 users = 5 additional sign-ups.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Demo video</w:t>
            </w:r>
          </w:p>
        </w:tc>
        <w:tc>
          <w:tcPr>
            <w:tcW w:type="dxa" w:w="12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4"/>
                <w:szCs w:val="14"/>
              </w:rPr>
              <w:t xml:space="preserve">HIGH</w:t>
            </w:r>
          </w:p>
        </w:tc>
        <w:tc>
          <w:tcPr>
            <w:tcW w:type="dxa" w:w="57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Not a direct channel but the highest-leverage conversion asset. Every channel links to it. Without it, conversion drops across all channels.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Business broker partnerships</w:t>
            </w:r>
          </w:p>
        </w:tc>
        <w:tc>
          <w:tcPr>
            <w:tcW w:type="dxa" w:w="1200"/>
            <w:tcBorders>
              <w:top w:val="single" w:color="1A5276" w:sz="4"/>
              <w:left w:val="single" w:color="1A5276" w:sz="4"/>
              <w:bottom w:val="single" w:color="1A5276" w:sz="4"/>
              <w:right w:val="single" w:color="1A5276" w:sz="4"/>
            </w:tcBorders>
            <w:shd w:fill="EBF5FB"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A5276"/>
                <w:sz w:val="14"/>
                <w:szCs w:val="14"/>
              </w:rPr>
              <w:t xml:space="preserve">MEDIUM</w:t>
            </w:r>
          </w:p>
        </w:tc>
        <w:tc>
          <w:tcPr>
            <w:tcW w:type="dxa" w:w="57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Slower to set up but each broker refers multiple buyers. One good broker relationship = 5 to 10 new users over time.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LinkedIn paid advertising</w:t>
            </w:r>
          </w:p>
        </w:tc>
        <w:tc>
          <w:tcPr>
            <w:tcW w:type="dxa" w:w="1200"/>
            <w:tcBorders>
              <w:top w:val="single" w:color="1A5276" w:sz="4"/>
              <w:left w:val="single" w:color="1A5276" w:sz="4"/>
              <w:bottom w:val="single" w:color="1A5276" w:sz="4"/>
              <w:right w:val="single" w:color="1A5276" w:sz="4"/>
            </w:tcBorders>
            <w:shd w:fill="EBF5FB"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A5276"/>
                <w:sz w:val="14"/>
                <w:szCs w:val="14"/>
              </w:rPr>
              <w:t xml:space="preserve">MEDIUM</w:t>
            </w:r>
          </w:p>
        </w:tc>
        <w:tc>
          <w:tcPr>
            <w:tcW w:type="dxa" w:w="57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£500 budget, highly targeted. Lower trust than organic but high volume. Target 10 to 15 sign-ups.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Podcast and newsletter appearances</w:t>
            </w:r>
          </w:p>
        </w:tc>
        <w:tc>
          <w:tcPr>
            <w:tcW w:type="dxa" w:w="1200"/>
            <w:tcBorders>
              <w:top w:val="single" w:color="1A5276" w:sz="4"/>
              <w:left w:val="single" w:color="1A5276" w:sz="4"/>
              <w:bottom w:val="single" w:color="1A5276" w:sz="4"/>
              <w:right w:val="single" w:color="1A5276" w:sz="4"/>
            </w:tcBorders>
            <w:shd w:fill="EBF5FB"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A5276"/>
                <w:sz w:val="14"/>
                <w:szCs w:val="14"/>
              </w:rPr>
              <w:t xml:space="preserve">MEDIUM</w:t>
            </w:r>
          </w:p>
        </w:tc>
        <w:tc>
          <w:tcPr>
            <w:tcW w:type="dxa" w:w="57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Slower to materialise but high-quality leads. A podcast listener who signs up is likely to stick. Target 5 to 10 sign-ups from confirmed appearances.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Accountant and advisor referrals</w:t>
            </w:r>
          </w:p>
        </w:tc>
        <w:tc>
          <w:tcPr>
            <w:tcW w:type="dxa" w:w="1200"/>
            <w:tcBorders>
              <w:top w:val="single" w:color="404040" w:sz="4"/>
              <w:left w:val="single" w:color="404040" w:sz="4"/>
              <w:bottom w:val="single" w:color="404040" w:sz="4"/>
              <w:right w:val="single" w:color="404040" w:sz="4"/>
            </w:tcBorders>
            <w:shd w:fill="F5F5F5"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404040"/>
                <w:sz w:val="14"/>
                <w:szCs w:val="14"/>
              </w:rPr>
              <w:t xml:space="preserve">LOW in sprint</w:t>
            </w:r>
          </w:p>
        </w:tc>
        <w:tc>
          <w:tcPr>
            <w:tcW w:type="dxa" w:w="57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50" w:before="50"/>
              <w:jc w:val="left"/>
            </w:pPr>
            <w:r>
              <w:rPr>
                <w:rFonts w:ascii="Arial" w:cs="Arial" w:eastAsia="Arial" w:hAnsi="Arial"/>
                <w:b w:val="false"/>
                <w:bCs w:val="false"/>
                <w:i w:val="false"/>
                <w:iCs w:val="false"/>
                <w:color w:val="404040"/>
                <w:sz w:val="16"/>
                <w:szCs w:val="16"/>
              </w:rPr>
              <w:t xml:space="preserve">Takes time to build. Worth starting now for the next growth phase. Unlikely to yield more than 3 to 5 sign-ups in 25 days.</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6.  Content Plan — What to Post and When</w:t>
      </w:r>
    </w:p>
    <w:p>
      <w:pPr>
        <w:spacing w:after="100" w:before="0"/>
        <w:jc w:val="left"/>
      </w:pPr>
      <w:r>
        <w:rPr>
          <w:rFonts w:ascii="Arial" w:cs="Arial" w:eastAsia="Arial" w:hAnsi="Arial"/>
          <w:b w:val="false"/>
          <w:bCs w:val="false"/>
          <w:i w:val="false"/>
          <w:iCs w:val="false"/>
          <w:color w:val="404040"/>
          <w:sz w:val="19"/>
          <w:szCs w:val="19"/>
        </w:rPr>
        <w:t xml:space="preserve">Every piece of content serves one of three purposes: reach new people, build credibility with people who have seen us, or convert people who are considering signing up. The content plan runs across the full 25 days and is primarily owned by Adam and Dee.</w:t>
      </w:r>
    </w:p>
    <w:p>
      <w:pPr>
        <w:spacing w:after="80" w:before="80"/>
      </w:pPr>
    </w:p>
    <w:p>
      <w:pPr>
        <w:pStyle w:val="Heading2"/>
        <w:spacing w:after="120" w:before="240"/>
      </w:pPr>
      <w:r>
        <w:rPr>
          <w:rFonts w:ascii="Arial" w:cs="Arial" w:eastAsia="Arial" w:hAnsi="Arial"/>
          <w:b/>
          <w:bCs/>
          <w:color w:val="1F2D4E"/>
          <w:sz w:val="24"/>
          <w:szCs w:val="24"/>
        </w:rPr>
        <w:t xml:space="preserve">6.1  LinkedIn Post Ideas — use these as a starting 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1 — The Launch Post</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Personal from Adam. Why Valoxi was built. What problem it solves. Who it is for. Direct invitation to sign up. Tag all 16 existing users. Ask for shares. This is the most important post of the sprint.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3 — The Deal Analysis Post</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Walk through what happens when you run a deal through the eight AI specialists. What questions get asked. What risks get flagged. What insights come out that a spreadsheet would miss. End with: 'This is what Valoxi does for every deal you add.'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5 — The Document Generation Post</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Show the one-click NDA, offer letter and heads of terms. Before and after: what most buyers send vs what a Valoxi user sends. The credibility gap is the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7 — A Testimonial Post</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Share one of the testimonials collected in week 1. A real quote from a real user about what changed for them. Keep it simple and genuine. No graphic needed — plain text on LinkedIn performs better than polished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9 — The Due Diligence Post</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The DD checklist problem. Most first-time buyers have no structured DD framework. They rely on their solicitor to tell them what to ask. Valoxi fixes this. Walk through the framework. End with the sign-up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11 — The Deal Modeller Post</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The moment most buyers realise a deal does not work is when they get the numbers from their accountant weeks into the process. The deal modeller tells you in minutes. Show it working. This converts technically-minded buyers who care about the economics.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14 — The Milestone Post</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We went from 0 to X paying users in 14 days. Thank the community. Share what users are saying. Make it feel like momentum. Momentum attracts more momentum.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17 — The Community Post</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Post specifically in the acquisition entrepreneur groups and communities. Different message — more community-oriented, less product-oriented. 'I am one of you. I built this for us. Here is what it does.'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21 — The Referral Post</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Announce the referral mechanic. One month free for every referral that signs up. Tag users and ask them to share their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6"/>
                <w:szCs w:val="16"/>
              </w:rPr>
              <w:t xml:space="preserve">Day 24 — The Near-100 Post</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We are 8 away from 100. Creating urgency. Genuine — this is a real milestone. The founding member community closes at 100. Last chance to get in at the founding price.</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7.  Assets Needed — Priority Order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DDDDDD" w:sz="4"/>
              <w:left w:val="single" w:color="DDDDDD" w:sz="4"/>
              <w:bottom w:val="single" w:color="DDDDDD" w:sz="4"/>
              <w:right w:val="single" w:color="DDDDDD"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FFFFFF"/>
                <w:sz w:val="17"/>
                <w:szCs w:val="17"/>
              </w:rPr>
              <w:t xml:space="preserve">Asset</w:t>
            </w:r>
          </w:p>
        </w:tc>
        <w:tc>
          <w:tcPr>
            <w:tcW w:type="dxa" w:w="1400"/>
            <w:tcBorders>
              <w:top w:val="single" w:color="DDDDDD" w:sz="4"/>
              <w:left w:val="single" w:color="DDDDDD" w:sz="4"/>
              <w:bottom w:val="single" w:color="DDDDDD" w:sz="4"/>
              <w:right w:val="single" w:color="DDDDDD" w:sz="4"/>
            </w:tcBorders>
            <w:shd w:fill="1F2D4E" w:val="clear"/>
            <w:tcMar>
              <w:top w:type="dxa" w:w="60"/>
              <w:left w:type="dxa" w:w="60"/>
              <w:bottom w:type="dxa" w:w="60"/>
              <w:right w:type="dxa" w:w="60"/>
            </w:tcMar>
            <w:vAlign w:val="center"/>
          </w:tcPr>
          <w:p>
            <w:pPr>
              <w:spacing w:after="60" w:before="60"/>
              <w:jc w:val="center"/>
            </w:pPr>
            <w:r>
              <w:rPr>
                <w:rFonts w:ascii="Arial" w:cs="Arial" w:eastAsia="Arial" w:hAnsi="Arial"/>
                <w:b/>
                <w:bCs/>
                <w:i w:val="false"/>
                <w:iCs w:val="false"/>
                <w:color w:val="FFFFFF"/>
                <w:sz w:val="17"/>
                <w:szCs w:val="17"/>
              </w:rPr>
              <w:t xml:space="preserve">Priority</w:t>
            </w:r>
          </w:p>
        </w:tc>
        <w:tc>
          <w:tcPr>
            <w:tcW w:type="dxa" w:w="4960"/>
            <w:tcBorders>
              <w:top w:val="single" w:color="DDDDDD" w:sz="4"/>
              <w:left w:val="single" w:color="DDDDDD" w:sz="4"/>
              <w:bottom w:val="single" w:color="DDDDDD" w:sz="4"/>
              <w:right w:val="single" w:color="DDDDDD" w:sz="4"/>
            </w:tcBorders>
            <w:shd w:fill="1F2D4E" w:val="clear"/>
            <w:tcMar>
              <w:top w:type="dxa" w:w="60"/>
              <w:left w:type="dxa" w:w="160"/>
              <w:bottom w:type="dxa" w:w="60"/>
              <w:right w:type="dxa" w:w="160"/>
            </w:tcMar>
            <w:vAlign w:val="center"/>
          </w:tcPr>
          <w:p>
            <w:pPr>
              <w:spacing w:after="60" w:before="60"/>
              <w:jc w:val="left"/>
            </w:pPr>
            <w:r>
              <w:rPr>
                <w:rFonts w:ascii="Arial" w:cs="Arial" w:eastAsia="Arial" w:hAnsi="Arial"/>
                <w:b/>
                <w:bCs/>
                <w:i w:val="false"/>
                <w:iCs w:val="false"/>
                <w:color w:val="FFFFFF"/>
                <w:sz w:val="17"/>
                <w:szCs w:val="17"/>
              </w:rPr>
              <w:t xml:space="preserve">Notes</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3-minute demo video (screen recording)</w:t>
            </w:r>
          </w:p>
        </w:tc>
        <w:tc>
          <w:tcPr>
            <w:tcW w:type="dxa" w:w="14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DAY 1</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Adam records a real deal walkthrough. No script, no editing needed. Raw authenticity converts better than polished production in this community. Upload to LinkedIn and YouTube. Embed on website.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10 testimonial quotes from existing users</w:t>
            </w:r>
          </w:p>
        </w:tc>
        <w:tc>
          <w:tcPr>
            <w:tcW w:type="dxa" w:w="14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DAY 1–2</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Personal message to all 16 users within 24 hours of launch. Ask for one sentence. Collect and use everywhere — website, LinkedIn, email, outreach messages.</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Personal outreach message template for 5D community</w:t>
            </w:r>
          </w:p>
        </w:tc>
        <w:tc>
          <w:tcPr>
            <w:tcW w:type="dxa" w:w="14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DAY 1</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Not a copy-paste template — a framework that Jag and Adam personalise for each person. Reference what they are working on. Make it feel like a recommendation from a peer, not a pitch from a founder.</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Email to warm list</w:t>
            </w:r>
          </w:p>
        </w:tc>
        <w:tc>
          <w:tcPr>
            <w:tcW w:type="dxa" w:w="14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DAY 1</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Short, direct. Subject: 'Valoxi went live — here is what it does.' Three sentences. One CTA. Link to demo video. Personal sign-off from Adam.</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LinkedIn Day 1 launch post</w:t>
            </w:r>
          </w:p>
        </w:tc>
        <w:tc>
          <w:tcPr>
            <w:tcW w:type="dxa" w:w="1400"/>
            <w:tcBorders>
              <w:top w:val="single" w:color="C0392B" w:sz="4"/>
              <w:left w:val="single" w:color="C0392B" w:sz="4"/>
              <w:bottom w:val="single" w:color="C0392B" w:sz="4"/>
              <w:right w:val="single" w:color="C0392B" w:sz="4"/>
            </w:tcBorders>
            <w:shd w:fill="FADBD8"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C0392B"/>
                <w:sz w:val="14"/>
                <w:szCs w:val="14"/>
              </w:rPr>
              <w:t xml:space="preserve">DAY 1</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Written before launch day. Ready to go. Tag the 16 users. Strong opening line. Clear CTA. Under 300 words.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Referral link system</w:t>
            </w:r>
          </w:p>
        </w:tc>
        <w:tc>
          <w:tcPr>
            <w:tcW w:type="dxa" w:w="1400"/>
            <w:tcBorders>
              <w:top w:val="single" w:color="1A5276" w:sz="4"/>
              <w:left w:val="single" w:color="1A5276" w:sz="4"/>
              <w:bottom w:val="single" w:color="1A5276" w:sz="4"/>
              <w:right w:val="single" w:color="1A5276" w:sz="4"/>
            </w:tcBorders>
            <w:shd w:fill="EBF5FB"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A5276"/>
                <w:sz w:val="14"/>
                <w:szCs w:val="14"/>
              </w:rPr>
              <w:t xml:space="preserve">WEEK 3</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Simple unique referral codes per user. Track conversions. Award one month free automatically on conversion. Can be manual initially if the technical setup takes time.</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Broker and advisor one-pager</w:t>
            </w:r>
          </w:p>
        </w:tc>
        <w:tc>
          <w:tcPr>
            <w:tcW w:type="dxa" w:w="1400"/>
            <w:tcBorders>
              <w:top w:val="single" w:color="E67E22" w:sz="4"/>
              <w:left w:val="single" w:color="E67E22" w:sz="4"/>
              <w:bottom w:val="single" w:color="E67E22" w:sz="4"/>
              <w:right w:val="single" w:color="E67E22" w:sz="4"/>
            </w:tcBorders>
            <w:shd w:fill="FEF9E7"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E67E22"/>
                <w:sz w:val="14"/>
                <w:szCs w:val="14"/>
              </w:rPr>
              <w:t xml:space="preserve">WEEK 2</w:t>
            </w:r>
          </w:p>
        </w:tc>
        <w:tc>
          <w:tcPr>
            <w:tcW w:type="dxa" w:w="49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A single page explaining what Valoxi does for their clients and why it makes the broker's life easier. PDF format. Used in outreach to brokers and advisors.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bCs/>
                <w:i w:val="false"/>
                <w:iCs w:val="false"/>
                <w:color w:val="1F2D4E"/>
                <w:sz w:val="17"/>
                <w:szCs w:val="17"/>
              </w:rPr>
              <w:t xml:space="preserve">LinkedIn paid ad creative</w:t>
            </w:r>
          </w:p>
        </w:tc>
        <w:tc>
          <w:tcPr>
            <w:tcW w:type="dxa" w:w="1400"/>
            <w:tcBorders>
              <w:top w:val="single" w:color="1A5276" w:sz="4"/>
              <w:left w:val="single" w:color="1A5276" w:sz="4"/>
              <w:bottom w:val="single" w:color="1A5276" w:sz="4"/>
              <w:right w:val="single" w:color="1A5276" w:sz="4"/>
            </w:tcBorders>
            <w:shd w:fill="EBF5FB"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A5276"/>
                <w:sz w:val="14"/>
                <w:szCs w:val="14"/>
              </w:rPr>
              <w:t xml:space="preserve">WEEK 3</w:t>
            </w:r>
          </w:p>
        </w:tc>
        <w:tc>
          <w:tcPr>
            <w:tcW w:type="dxa" w:w="49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One static image ad using the best performing testimonial as the hook. Simple design. Gold and navy brand colours. Direct link to sign-up or demo. A/B test two versions.</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8.  Who Does What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FFFFFF"/>
                <w:sz w:val="17"/>
                <w:szCs w:val="17"/>
              </w:rPr>
              <w:t xml:space="preserve">Person</w:t>
            </w:r>
          </w:p>
        </w:tc>
        <w:tc>
          <w:tcPr>
            <w:tcW w:type="dxa" w:w="7360"/>
            <w:tcBorders>
              <w:top w:val="single" w:color="DDDDDD" w:sz="4"/>
              <w:left w:val="single" w:color="DDDDDD" w:sz="4"/>
              <w:bottom w:val="single" w:color="DDDDDD" w:sz="4"/>
              <w:right w:val="single" w:color="DDDDDD" w:sz="4"/>
            </w:tcBorders>
            <w:shd w:fill="1F2D4E" w:val="clear"/>
            <w:tcMar>
              <w:top w:type="dxa" w:w="60"/>
              <w:left w:type="dxa" w:w="160"/>
              <w:bottom w:type="dxa" w:w="60"/>
              <w:right w:type="dxa" w:w="160"/>
            </w:tcMar>
            <w:vAlign w:val="center"/>
          </w:tcPr>
          <w:p>
            <w:pPr>
              <w:spacing w:after="60" w:before="60"/>
              <w:jc w:val="left"/>
            </w:pPr>
            <w:r>
              <w:rPr>
                <w:rFonts w:ascii="Arial" w:cs="Arial" w:eastAsia="Arial" w:hAnsi="Arial"/>
                <w:b/>
                <w:bCs/>
                <w:i w:val="false"/>
                <w:iCs w:val="false"/>
                <w:color w:val="FFFFFF"/>
                <w:sz w:val="17"/>
                <w:szCs w:val="17"/>
              </w:rPr>
              <w:t xml:space="preserve">Responsibilities across the 25 days</w:t>
            </w:r>
          </w:p>
        </w:tc>
      </w:tr>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Adam — Founder</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Personal outreach to 5D community. LinkedIn posts (daily in weeks 1 and 2, every other day in weeks 3 and 4). Demo video recording. Podcast and media appearances. Final push messaging to warm contacts. The face of the launch — this channel only works if it is genuinely personal.</w:t>
            </w:r>
          </w:p>
        </w:tc>
      </w:tr>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Jag — CCO</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LinkedIn direct outreach campaign — 20 personalised messages per day. Business broker outreach — identify and approach 50 UK brokers. Follow-up sequence for everyone who showed interest but did not convert. Partnership conversations with advisors and accountants. Tracking sign-up sources and reporting daily conversion numbers.</w:t>
            </w:r>
          </w:p>
        </w:tc>
      </w:tr>
      <w:tr>
        <w:tc>
          <w:tcPr>
            <w:tcW w:type="dxa" w:w="2000"/>
            <w:tcBorders>
              <w:top w:val="single" w:color="B8962E" w:sz="4"/>
              <w:left w:val="single" w:color="B8962E" w:sz="4"/>
              <w:bottom w:val="single" w:color="B8962E" w:sz="4"/>
              <w:right w:val="single" w:color="B8962E"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Dee — CMO</w:t>
            </w:r>
          </w:p>
        </w:tc>
        <w:tc>
          <w:tcPr>
            <w:tcW w:type="dxa" w:w="7360"/>
            <w:tcBorders>
              <w:top w:val="single" w:color="DDDDDD" w:sz="4"/>
              <w:left w:val="single" w:color="DDDDDD" w:sz="4"/>
              <w:bottom w:val="single" w:color="DDDDDD" w:sz="4"/>
              <w:right w:val="single" w:color="DDDDDD" w:sz="4"/>
            </w:tcBorders>
            <w:shd w:fill="F5F5F5"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LinkedIn content support for Adam — drafts for review rather than posting independently. Podcast and newsletter outreach — identify targets, write pitches, book appearances. LinkedIn paid campaign setup and management. Community posts in acquisition entrepreneur groups. Referral mechanic comms — announcing it, reminding users, tracking it. Collecting and formatting testimonials.</w:t>
            </w:r>
          </w:p>
        </w:tc>
      </w:tr>
      <w:tr>
        <w:tc>
          <w:tcPr>
            <w:tcW w:type="dxa" w:w="2000"/>
            <w:tcBorders>
              <w:top w:val="single" w:color="B8962E" w:sz="4"/>
              <w:left w:val="single" w:color="B8962E" w:sz="4"/>
              <w:bottom w:val="single" w:color="B8962E" w:sz="4"/>
              <w:right w:val="single" w:color="B8962E" w:sz="4"/>
            </w:tcBorders>
            <w:shd w:fill="2C3E50"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B8962E"/>
                <w:sz w:val="17"/>
                <w:szCs w:val="17"/>
              </w:rPr>
              <w:t xml:space="preserve">Viv — CTO</w:t>
            </w:r>
          </w:p>
        </w:tc>
        <w:tc>
          <w:tcPr>
            <w:tcW w:type="dxa" w:w="7360"/>
            <w:tcBorders>
              <w:top w:val="single" w:color="DDDDDD" w:sz="4"/>
              <w:left w:val="single" w:color="DDDDDD" w:sz="4"/>
              <w:bottom w:val="single" w:color="DDDDDD" w:sz="4"/>
              <w:right w:val="single" w:color="DDDDDD" w:sz="4"/>
            </w:tcBorders>
            <w:shd w:fill="FFFFFF" w:val="clear"/>
            <w:tcMar>
              <w:top w:type="dxa" w:w="60"/>
              <w:left w:type="dxa" w:w="160"/>
              <w:bottom w:type="dxa" w:w="60"/>
              <w:right w:type="dxa" w:w="160"/>
            </w:tcMar>
            <w:vAlign w:val="top"/>
          </w:tcPr>
          <w:p>
            <w:pPr>
              <w:spacing w:after="60" w:before="60"/>
              <w:jc w:val="left"/>
            </w:pPr>
            <w:r>
              <w:rPr>
                <w:rFonts w:ascii="Arial" w:cs="Arial" w:eastAsia="Arial" w:hAnsi="Arial"/>
                <w:b w:val="false"/>
                <w:bCs w:val="false"/>
                <w:i w:val="false"/>
                <w:iCs w:val="false"/>
                <w:color w:val="404040"/>
                <w:sz w:val="17"/>
                <w:szCs w:val="17"/>
              </w:rPr>
              <w:t xml:space="preserve">Ensure the platform handles a significant increase in users without performance issues. Referral link system — either technical implementation or simple workaround. Any quick-win onboarding improvements that reduce friction for new sign-ups. Daily monitoring of error logs and performance metrics during the sprint.</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9.  How We Measure Success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DDDDD" w:sz="4"/>
              <w:left w:val="single" w:color="DDDDDD" w:sz="4"/>
              <w:bottom w:val="single" w:color="DDDDDD" w:sz="4"/>
              <w:right w:val="single" w:color="DDDDDD" w:sz="4"/>
            </w:tcBorders>
            <w:shd w:fill="1F2D4E" w:val="clear"/>
            <w:tcMar>
              <w:top w:type="dxa" w:w="60"/>
              <w:left w:type="dxa" w:w="120"/>
              <w:bottom w:type="dxa" w:w="60"/>
              <w:right w:type="dxa" w:w="120"/>
            </w:tcMar>
            <w:vAlign w:val="center"/>
          </w:tcPr>
          <w:p>
            <w:pPr>
              <w:spacing w:after="60" w:before="60"/>
              <w:jc w:val="left"/>
            </w:pPr>
            <w:r>
              <w:rPr>
                <w:rFonts w:ascii="Arial" w:cs="Arial" w:eastAsia="Arial" w:hAnsi="Arial"/>
                <w:b/>
                <w:bCs/>
                <w:i w:val="false"/>
                <w:iCs w:val="false"/>
                <w:color w:val="FFFFFF"/>
                <w:sz w:val="17"/>
                <w:szCs w:val="17"/>
              </w:rPr>
              <w:t xml:space="preserve">Metric</w:t>
            </w:r>
          </w:p>
        </w:tc>
        <w:tc>
          <w:tcPr>
            <w:tcW w:type="dxa" w:w="1400"/>
            <w:tcBorders>
              <w:top w:val="single" w:color="DDDDDD" w:sz="4"/>
              <w:left w:val="single" w:color="DDDDDD" w:sz="4"/>
              <w:bottom w:val="single" w:color="DDDDDD" w:sz="4"/>
              <w:right w:val="single" w:color="DDDDDD" w:sz="4"/>
            </w:tcBorders>
            <w:shd w:fill="1F2D4E" w:val="clear"/>
            <w:tcMar>
              <w:top w:type="dxa" w:w="60"/>
              <w:left w:type="dxa" w:w="60"/>
              <w:bottom w:type="dxa" w:w="60"/>
              <w:right w:type="dxa" w:w="60"/>
            </w:tcMar>
            <w:vAlign w:val="center"/>
          </w:tcPr>
          <w:p>
            <w:pPr>
              <w:spacing w:after="60" w:before="60"/>
              <w:jc w:val="center"/>
            </w:pPr>
            <w:r>
              <w:rPr>
                <w:rFonts w:ascii="Arial" w:cs="Arial" w:eastAsia="Arial" w:hAnsi="Arial"/>
                <w:b/>
                <w:bCs/>
                <w:i w:val="false"/>
                <w:iCs w:val="false"/>
                <w:color w:val="FFFFFF"/>
                <w:sz w:val="17"/>
                <w:szCs w:val="17"/>
              </w:rPr>
              <w:t xml:space="preserve">Target</w:t>
            </w:r>
          </w:p>
        </w:tc>
        <w:tc>
          <w:tcPr>
            <w:tcW w:type="dxa" w:w="5560"/>
            <w:tcBorders>
              <w:top w:val="single" w:color="DDDDDD" w:sz="4"/>
              <w:left w:val="single" w:color="DDDDDD" w:sz="4"/>
              <w:bottom w:val="single" w:color="DDDDDD" w:sz="4"/>
              <w:right w:val="single" w:color="DDDDDD" w:sz="4"/>
            </w:tcBorders>
            <w:shd w:fill="1F2D4E" w:val="clear"/>
            <w:tcMar>
              <w:top w:type="dxa" w:w="60"/>
              <w:left w:type="dxa" w:w="160"/>
              <w:bottom w:type="dxa" w:w="60"/>
              <w:right w:type="dxa" w:w="160"/>
            </w:tcMar>
            <w:vAlign w:val="center"/>
          </w:tcPr>
          <w:p>
            <w:pPr>
              <w:spacing w:after="60" w:before="60"/>
              <w:jc w:val="left"/>
            </w:pPr>
            <w:r>
              <w:rPr>
                <w:rFonts w:ascii="Arial" w:cs="Arial" w:eastAsia="Arial" w:hAnsi="Arial"/>
                <w:b/>
                <w:bCs/>
                <w:i w:val="false"/>
                <w:iCs w:val="false"/>
                <w:color w:val="FFFFFF"/>
                <w:sz w:val="17"/>
                <w:szCs w:val="17"/>
              </w:rPr>
              <w:t xml:space="preserve">How to track</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Total paying users</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100 by 31 May</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Stripe dashboard. Report daily.</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New sign-ups per day</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Minimum 4 per day to hit target</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Stripe and Valoxi admin. Jag reports at 6pm daily.</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Sign-ups by source</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Track which channel each signup came from</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Ask in onboarding or track referral links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Demo video views</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500+ by end of week 2</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LinkedIn video analytics and YouTube studio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LinkedIn post reach</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10,000+ impressions per post</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LinkedIn analytics — review every post</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Outreach response rate</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20%+ response to personal messages</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Track in a simple spreadsheet — messages sent vs replies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Referral conversions</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10+ sign-ups via referral links</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Referral tracking system</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Broker demo meetings booked</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5+ meetings in week 2</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Calendar — Jag tracks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Testimonials collected</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10+ by end of day 2</w:t>
            </w:r>
          </w:p>
        </w:tc>
        <w:tc>
          <w:tcPr>
            <w:tcW w:type="dxa" w:w="55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Google Doc — Dee tracks</w:t>
            </w:r>
          </w:p>
        </w:tc>
      </w:tr>
      <w:tr>
        <w:tc>
          <w:tcPr>
            <w:tcW w:type="dxa" w:w="24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center"/>
          </w:tcPr>
          <w:p>
            <w:pPr>
              <w:spacing w:after="50" w:before="50"/>
              <w:jc w:val="left"/>
            </w:pPr>
            <w:r>
              <w:rPr>
                <w:rFonts w:ascii="Arial" w:cs="Arial" w:eastAsia="Arial" w:hAnsi="Arial"/>
                <w:b/>
                <w:bCs/>
                <w:i w:val="false"/>
                <w:iCs w:val="false"/>
                <w:color w:val="1F2D4E"/>
                <w:sz w:val="17"/>
                <w:szCs w:val="17"/>
              </w:rPr>
              <w:t xml:space="preserve">Podcast or media appearances confirmed</w:t>
            </w:r>
          </w:p>
        </w:tc>
        <w:tc>
          <w:tcPr>
            <w:tcW w:type="dxa" w:w="1400"/>
            <w:tcBorders>
              <w:top w:val="single" w:color="1E8449" w:sz="4"/>
              <w:left w:val="single" w:color="1E8449" w:sz="4"/>
              <w:bottom w:val="single" w:color="1E8449" w:sz="4"/>
              <w:right w:val="single" w:color="1E8449" w:sz="4"/>
            </w:tcBorders>
            <w:shd w:fill="D5F5E3" w:val="clear"/>
            <w:tcMar>
              <w:top w:type="dxa" w:w="60"/>
              <w:left w:type="dxa" w:w="60"/>
              <w:bottom w:type="dxa" w:w="60"/>
              <w:right w:type="dxa" w:w="60"/>
            </w:tcMar>
            <w:vAlign w:val="center"/>
          </w:tcPr>
          <w:p>
            <w:pPr>
              <w:spacing w:after="50" w:before="50"/>
              <w:jc w:val="center"/>
            </w:pPr>
            <w:r>
              <w:rPr>
                <w:rFonts w:ascii="Arial" w:cs="Arial" w:eastAsia="Arial" w:hAnsi="Arial"/>
                <w:b/>
                <w:bCs/>
                <w:i w:val="false"/>
                <w:iCs w:val="false"/>
                <w:color w:val="1E8449"/>
                <w:sz w:val="16"/>
                <w:szCs w:val="16"/>
              </w:rPr>
              <w:t xml:space="preserve">2+ by end of week 2</w:t>
            </w:r>
          </w:p>
        </w:tc>
        <w:tc>
          <w:tcPr>
            <w:tcW w:type="dxa" w:w="55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vAlign w:val="top"/>
          </w:tcPr>
          <w:p>
            <w:pPr>
              <w:spacing w:after="50" w:before="50"/>
              <w:jc w:val="left"/>
            </w:pPr>
            <w:r>
              <w:rPr>
                <w:rFonts w:ascii="Arial" w:cs="Arial" w:eastAsia="Arial" w:hAnsi="Arial"/>
                <w:b w:val="false"/>
                <w:bCs w:val="false"/>
                <w:i/>
                <w:iCs/>
                <w:color w:val="404040"/>
                <w:sz w:val="16"/>
                <w:szCs w:val="16"/>
              </w:rPr>
              <w:t xml:space="preserve">Calendar — Dee tracks</w:t>
            </w:r>
          </w:p>
        </w:tc>
      </w:tr>
    </w:tbl>
    <w:p>
      <w:pPr>
        <w:spacing w:after="160" w:before="160"/>
      </w:pPr>
    </w:p>
    <w:p>
      <w:r>
        <w:br w:type="page"/>
      </w:r>
    </w:p>
    <w:p>
      <w:pPr>
        <w:pStyle w:val="Heading1"/>
        <w:spacing w:after="160" w:before="320"/>
      </w:pPr>
      <w:r>
        <w:rPr>
          <w:rFonts w:ascii="Arial" w:cs="Arial" w:eastAsia="Arial" w:hAnsi="Arial"/>
          <w:b/>
          <w:bCs/>
          <w:color w:val="1F2D4E"/>
          <w:sz w:val="32"/>
          <w:szCs w:val="32"/>
        </w:rPr>
        <w:t xml:space="preserve">10.  The Honest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62E" w:sz="6"/>
              <w:left w:val="single" w:color="B8962E" w:sz="6"/>
              <w:bottom w:val="single" w:color="B8962E" w:sz="6"/>
              <w:right w:val="single" w:color="B8962E" w:sz="6"/>
            </w:tcBorders>
            <w:shd w:fill="1F2D4E" w:val="clear"/>
            <w:tcMar>
              <w:top w:type="dxa" w:w="160"/>
              <w:left w:type="dxa" w:w="240"/>
              <w:bottom w:type="dxa" w:w="160"/>
              <w:right w:type="dxa" w:w="240"/>
            </w:tcMar>
            <w:vAlign w:val="center"/>
          </w:tcPr>
          <w:p>
            <w:pPr>
              <w:spacing w:after="80" w:before="160"/>
              <w:jc w:val="left"/>
            </w:pPr>
            <w:r>
              <w:rPr>
                <w:rFonts w:ascii="Arial" w:cs="Arial" w:eastAsia="Arial" w:hAnsi="Arial"/>
                <w:b/>
                <w:bCs/>
                <w:i w:val="false"/>
                <w:iCs w:val="false"/>
                <w:color w:val="B8962E"/>
                <w:sz w:val="20"/>
                <w:szCs w:val="20"/>
              </w:rPr>
              <w:t xml:space="preserve">84 users in 25 days is a hard target. Here is the truth about what it requires.</w:t>
            </w:r>
          </w:p>
          <w:p>
            <w:pPr>
              <w:spacing w:after="80" w:before="0"/>
              <w:jc w:val="left"/>
            </w:pPr>
            <w:r>
              <w:rPr>
                <w:rFonts w:ascii="Arial" w:cs="Arial" w:eastAsia="Arial" w:hAnsi="Arial"/>
                <w:b w:val="false"/>
                <w:bCs w:val="false"/>
                <w:i w:val="false"/>
                <w:iCs w:val="false"/>
                <w:color w:val="FFFFFF"/>
                <w:sz w:val="19"/>
                <w:szCs w:val="19"/>
              </w:rPr>
              <w:t xml:space="preserve">This is achievable but only if every co-founder is visibly active every day. The channels that will drive the majority of sign-ups — personal outreach, community posts, LinkedIn content — are all relationship-driven and cannot be automated or delegated to a tool. They require human time and genuine engagement.</w:t>
            </w:r>
          </w:p>
          <w:p>
            <w:pPr>
              <w:spacing w:after="80" w:before="0"/>
              <w:jc w:val="left"/>
            </w:pPr>
            <w:r>
              <w:rPr>
                <w:rFonts w:ascii="Arial" w:cs="Arial" w:eastAsia="Arial" w:hAnsi="Arial"/>
                <w:b w:val="false"/>
                <w:bCs w:val="false"/>
                <w:i w:val="false"/>
                <w:iCs w:val="false"/>
                <w:color w:val="FFFFFF"/>
                <w:sz w:val="19"/>
                <w:szCs w:val="19"/>
              </w:rPr>
              <w:t xml:space="preserve">The biggest risk is not that the message is wrong or the product is weak. The biggest risk is that the team treats this like a normal launch when it needs to be treated like a sprint. The 5D community alone could get us to 40 users if Adam and Jag are personally reaching out every day for the first week.</w:t>
            </w:r>
          </w:p>
          <w:p>
            <w:pPr>
              <w:spacing w:after="160" w:before="0"/>
              <w:jc w:val="left"/>
            </w:pPr>
            <w:r>
              <w:rPr>
                <w:rFonts w:ascii="Arial" w:cs="Arial" w:eastAsia="Arial" w:hAnsi="Arial"/>
                <w:b w:val="false"/>
                <w:bCs w:val="false"/>
                <w:i w:val="false"/>
                <w:iCs w:val="false"/>
                <w:color w:val="FFFFFF"/>
                <w:sz w:val="19"/>
                <w:szCs w:val="19"/>
              </w:rPr>
              <w:t xml:space="preserve">The product is genuinely differentiated. There is nothing else like it for this specific buyer in this specific market. The message is clear. The ICP is well-defined. What determines whether we hit 100 is pure execution volume in the first 7 days.</w:t>
            </w:r>
          </w:p>
        </w:tc>
      </w:tr>
    </w:tbl>
    <w:p>
      <w:pPr>
        <w:spacing w:after="160" w:before="160"/>
      </w:pPr>
    </w:p>
    <w:p>
      <w:pPr>
        <w:pBdr>
          <w:bottom w:val="single" w:color="B8962E" w:sz="6" w:space="1"/>
        </w:pBdr>
        <w:spacing w:after="120" w:before="120"/>
      </w:pPr>
    </w:p>
    <w:p>
      <w:pPr>
        <w:spacing w:after="40" w:before="80"/>
        <w:jc w:val="center"/>
      </w:pPr>
      <w:r>
        <w:rPr>
          <w:rFonts w:ascii="Arial" w:cs="Arial" w:eastAsia="Arial" w:hAnsi="Arial"/>
          <w:b w:val="false"/>
          <w:bCs w:val="false"/>
          <w:i/>
          <w:iCs/>
          <w:color w:val="404040"/>
          <w:sz w:val="16"/>
          <w:szCs w:val="16"/>
        </w:rPr>
        <w:t xml:space="preserve">Valoxi  —  Public Launch Brief  —  May 2026  —  Confidential</w:t>
      </w:r>
    </w:p>
    <w:p>
      <w:pPr>
        <w:spacing w:after="80" w:before="0"/>
        <w:jc w:val="center"/>
      </w:pPr>
      <w:r>
        <w:rPr>
          <w:rFonts w:ascii="Arial" w:cs="Arial" w:eastAsia="Arial" w:hAnsi="Arial"/>
          <w:b w:val="false"/>
          <w:bCs w:val="false"/>
          <w:i/>
          <w:iCs/>
          <w:color w:val="404040"/>
          <w:sz w:val="16"/>
          <w:szCs w:val="16"/>
        </w:rPr>
        <w:t xml:space="preserve">Adam David  |  Founder, Valoxi  |  adam@valoxi.ai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abstractNum w:abstractNumId="5" w15:restartNumberingAfterBreak="0">
    <w:multiLevelType w:val="hybridMultilevel"/>
    <w:lvl w:ilvl="0" w15:tentative="1">
      <w:start w:val="1"/>
      <w:numFmt w:val="bullet"/>
      <w:lvlText w:val="✗"/>
      <w:lvlJc w:val="left"/>
      <w:pPr>
        <w:ind w:left="480" w:hanging="240"/>
      </w:pPr>
    </w:lvl>
  </w:abstractNum>
  <w:abstractNum w:abstractNumId="6" w15:restartNumberingAfterBreak="0">
    <w:multiLevelType w:val="hybridMultilevel"/>
    <w:lvl w:ilvl="0" w15:tentative="1">
      <w:start w:val="1"/>
      <w:numFmt w:val="lowerLetter"/>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4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D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2026-05-06T14:06:19.336Z</dcterms:created>
  <dcterms:modified xsi:type="dcterms:W3CDTF">2026-05-06T14:06:19.356Z</dcterms:modified>
</cp:coreProperties>
</file>

<file path=docProps/custom.xml><?xml version="1.0" encoding="utf-8"?>
<Properties xmlns="http://schemas.openxmlformats.org/officeDocument/2006/custom-properties" xmlns:vt="http://schemas.openxmlformats.org/officeDocument/2006/docPropsVTypes"/>
</file>