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RANT POSTS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Another founder told me their “workflow” was sending Slack messages and hoping someone takes ownership.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ticket.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task.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accountability.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it breaks, they blame the team.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it’s not the team.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It’s the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don’t need better people.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need a better workflow.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Post 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Still seeing founders drop $20K on automation tools before fixing their intake form.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don’t need AI if clients still have to email you just to get started.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ops tax always starts at the front door.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Fix the front door first.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 3: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Stop blaming “overwhelmed staff” when your internal SOP is a 22-page Google Doc last updated in 2021.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They’re not failing.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They’re trying to decode a wall of text.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your process can’t be followed without training, it’s not a process — it’s a liability.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NOTES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Direct, sharp, frustrated (but earned)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Not angry yelling — it’s clarity with an edge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Punching up at broken systems, lazy ops, or expensive fluff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Start with a BS pattern, dumb idea, or broken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Call it out. Be clear about the consequences.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Land on a sharp, actionable point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Name-calling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Corporate bashing for clicks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Inspirational closing — this isn’t therapy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Rants aren’t about rage — they’re about saying the thing everyone’s thinking but won’t say.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LENGTH FLEXIBILITY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Not every post needs to be short.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Use short format (4–8 lines) for zingers, sharp insights, or single client moments.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medium = 8–14 lines → full story, clean pacing, clear point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long format (15–20 lines) for unpacking a full before/after or founder journey.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tone stays the same — the depth varies.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