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4F72"/>
          <w:sz w:val="48"/>
          <w:szCs w:val="48"/>
        </w:rPr>
        <w:t xml:space="preserve">RFQ Response</w:t>
      </w:r>
    </w:p>
    <w:p>
      <w:pPr>
        <w:spacing w:after="60"/>
      </w:pPr>
    </w:p>
    <w:p>
      <w:pPr>
        <w:spacing w:after="200"/>
        <w:jc w:val="center"/>
      </w:pPr>
      <w:r>
        <w:rPr>
          <w:rFonts w:ascii="Arial" w:cs="Arial" w:eastAsia="Arial" w:hAnsi="Arial"/>
          <w:color w:val="1B4F72"/>
          <w:sz w:val="40"/>
          <w:szCs w:val="40"/>
        </w:rPr>
        <w:t xml:space="preserve">Out-of-Hours Contact Review</w:t>
      </w:r>
    </w:p>
    <w:p>
      <w:pPr>
        <w:spacing w:after="60"/>
      </w:pPr>
    </w:p>
    <w:p>
      <w:pPr>
        <w:spacing w:after="60"/>
        <w:jc w:val="center"/>
      </w:pPr>
      <w:r>
        <w:rPr>
          <w:rFonts w:ascii="Arial" w:cs="Arial" w:eastAsia="Arial" w:hAnsi="Arial"/>
          <w:color w:val="666666"/>
          <w:sz w:val="24"/>
          <w:szCs w:val="24"/>
        </w:rPr>
        <w:t xml:space="preserve">Prepared for</w:t>
      </w:r>
    </w:p>
    <w:p>
      <w:pPr>
        <w:spacing w:after="300"/>
        <w:jc w:val="center"/>
      </w:pPr>
      <w:r>
        <w:rPr>
          <w:rFonts w:ascii="Arial" w:cs="Arial" w:eastAsia="Arial" w:hAnsi="Arial"/>
          <w:b/>
          <w:bCs/>
          <w:color w:val="1B4F72"/>
          <w:sz w:val="32"/>
          <w:szCs w:val="32"/>
        </w:rPr>
        <w:t xml:space="preserve">Westmorland &amp; Furness Council</w:t>
      </w:r>
    </w:p>
    <w:p>
      <w:pPr>
        <w:spacing w:after="60"/>
      </w:pPr>
    </w:p>
    <w:p>
      <w:pPr>
        <w:spacing w:after="60"/>
        <w:jc w:val="center"/>
      </w:pPr>
      <w:r>
        <w:rPr>
          <w:rFonts w:ascii="Arial" w:cs="Arial" w:eastAsia="Arial" w:hAnsi="Arial"/>
          <w:color w:val="666666"/>
          <w:sz w:val="24"/>
          <w:szCs w:val="24"/>
        </w:rPr>
        <w:t xml:space="preserve">Submitted by</w:t>
      </w:r>
    </w:p>
    <w:p>
      <w:pPr>
        <w:spacing w:after="60"/>
        <w:jc w:val="center"/>
      </w:pPr>
      <w:r>
        <w:rPr>
          <w:rFonts w:ascii="Arial" w:cs="Arial" w:eastAsia="Arial" w:hAnsi="Arial"/>
          <w:b/>
          <w:bCs/>
          <w:color w:val="1B4F72"/>
          <w:sz w:val="32"/>
          <w:szCs w:val="32"/>
        </w:rPr>
        <w:t xml:space="preserve">ShiftOps Consulting</w:t>
      </w:r>
    </w:p>
    <w:p>
      <w:pPr>
        <w:spacing w:after="60"/>
        <w:jc w:val="center"/>
      </w:pPr>
      <w:r>
        <w:rPr>
          <w:rFonts w:ascii="Arial" w:cs="Arial" w:eastAsia="Arial" w:hAnsi="Arial"/>
          <w:sz w:val="24"/>
          <w:szCs w:val="24"/>
        </w:rPr>
        <w:t xml:space="preserve">Adam Copeland, Founder &amp; Lead Consultant</w:t>
      </w:r>
    </w:p>
    <w:p>
      <w:pPr>
        <w:spacing w:after="60"/>
      </w:pPr>
    </w:p>
    <w:p>
      <w:pPr>
        <w:spacing w:after="60"/>
      </w:pPr>
    </w:p>
    <w:p>
      <w:pPr>
        <w:spacing w:after="60"/>
      </w:pPr>
    </w:p>
    <w:p>
      <w:pPr>
        <w:spacing w:after="60"/>
        <w:jc w:val="center"/>
      </w:pPr>
      <w:r>
        <w:rPr>
          <w:rFonts w:ascii="Arial" w:cs="Arial" w:eastAsia="Arial" w:hAnsi="Arial"/>
          <w:color w:val="666666"/>
          <w:sz w:val="24"/>
          <w:szCs w:val="24"/>
        </w:rPr>
        <w:t xml:space="preserve">3rd February 2026</w:t>
      </w:r>
    </w:p>
    <w:p>
      <w:pPr>
        <w:spacing w:after="60"/>
        <w:jc w:val="center"/>
      </w:pPr>
      <w:r>
        <w:rPr>
          <w:rFonts w:ascii="Arial" w:cs="Arial" w:eastAsia="Arial" w:hAnsi="Arial"/>
          <w:color w:val="666666"/>
          <w:sz w:val="24"/>
          <w:szCs w:val="24"/>
        </w:rPr>
        <w:t xml:space="preserve">Deadline: Tuesday 3rd February 2026 @ 17:00</w:t>
      </w:r>
    </w:p>
    <w:p>
      <w:pPr>
        <w:sectPr>
          <w:pgSz w:w="11906" w:h="16838" w:orient="portrait"/>
          <w:pgMar w:top="1440" w:right="1083" w:bottom="1440" w:left="1083" w:header="708" w:footer="708" w:gutter="0"/>
          <w:pgNumType/>
          <w:docGrid w:linePitch="360"/>
        </w:sectPr>
      </w:pPr>
    </w:p>
    <w:p>
      <w:pPr>
        <w:spacing w:before="300" w:after="200" w:line="276"/>
      </w:pPr>
      <w:r>
        <w:rPr>
          <w:rFonts w:ascii="Arial" w:cs="Arial" w:eastAsia="Arial" w:hAnsi="Arial"/>
          <w:b/>
          <w:bCs/>
          <w:color w:val="1B4F72"/>
          <w:sz w:val="32"/>
          <w:szCs w:val="32"/>
        </w:rPr>
        <w:t xml:space="preserve">Schedule 2 – Quality Submission</w:t>
      </w:r>
    </w:p>
    <w:p>
      <w:pPr>
        <w:spacing w:after="60"/>
      </w:pPr>
    </w:p>
    <w:p>
      <w:pPr>
        <w:spacing w:after="60"/>
      </w:pPr>
      <w:r>
        <w:rPr>
          <w:rFonts w:ascii="Arial" w:cs="Arial" w:eastAsia="Arial" w:hAnsi="Arial"/>
          <w:b/>
          <w:bCs/>
          <w:sz w:val="24"/>
          <w:szCs w:val="24"/>
        </w:rPr>
        <w:t xml:space="preserve">Name: </w:t>
      </w:r>
      <w:r>
        <w:rPr>
          <w:rFonts w:ascii="Arial" w:cs="Arial" w:eastAsia="Arial" w:hAnsi="Arial"/>
          <w:sz w:val="24"/>
          <w:szCs w:val="24"/>
        </w:rPr>
        <w:t xml:space="preserve">Westmorland &amp; Furness Council</w:t>
      </w:r>
    </w:p>
    <w:p>
      <w:pPr>
        <w:spacing w:after="200"/>
      </w:pPr>
      <w:r>
        <w:rPr>
          <w:rFonts w:ascii="Arial" w:cs="Arial" w:eastAsia="Arial" w:hAnsi="Arial"/>
          <w:b/>
          <w:bCs/>
          <w:sz w:val="24"/>
          <w:szCs w:val="24"/>
        </w:rPr>
        <w:t xml:space="preserve">Contract: </w:t>
      </w:r>
      <w:r>
        <w:rPr>
          <w:rFonts w:ascii="Arial" w:cs="Arial" w:eastAsia="Arial" w:hAnsi="Arial"/>
          <w:sz w:val="24"/>
          <w:szCs w:val="24"/>
        </w:rPr>
        <w:t xml:space="preserve">Out-of-Hours Contact Review</w:t>
      </w:r>
    </w:p>
    <w:p>
      <w:pPr>
        <w:spacing w:before="240" w:after="160" w:line="276"/>
      </w:pPr>
      <w:r>
        <w:rPr>
          <w:rFonts w:ascii="Arial" w:cs="Arial" w:eastAsia="Arial" w:hAnsi="Arial"/>
          <w:b/>
          <w:bCs/>
          <w:color w:val="1B4F72"/>
          <w:sz w:val="28"/>
          <w:szCs w:val="28"/>
        </w:rPr>
        <w:t xml:space="preserve">Question 1 – Plan for Activity (250 Points)</w:t>
      </w:r>
    </w:p>
    <w:p>
      <w:pPr>
        <w:spacing w:after="120" w:line="276"/>
      </w:pPr>
      <w:r>
        <w:rPr>
          <w:rFonts w:ascii="Arial" w:cs="Arial" w:eastAsia="Arial" w:hAnsi="Arial"/>
          <w:i/>
          <w:iCs/>
          <w:color w:val="666666"/>
          <w:sz w:val="24"/>
          <w:szCs w:val="24"/>
        </w:rPr>
        <w:t xml:space="preserve">Please provide details of how you will undertake the activity as set out above, including your project plan.</w:t>
      </w:r>
    </w:p>
    <w:p>
      <w:pPr>
        <w:spacing w:after="60"/>
      </w:pPr>
    </w:p>
    <w:p>
      <w:pPr>
        <w:spacing w:before="200" w:after="120" w:line="276"/>
      </w:pPr>
      <w:r>
        <w:rPr>
          <w:rFonts w:ascii="Arial" w:cs="Arial" w:eastAsia="Arial" w:hAnsi="Arial"/>
          <w:b/>
          <w:bCs/>
          <w:color w:val="0D2F4F"/>
          <w:sz w:val="24"/>
          <w:szCs w:val="24"/>
        </w:rPr>
        <w:t xml:space="preserve">Our Approach</w:t>
      </w:r>
    </w:p>
    <w:p>
      <w:pPr>
        <w:spacing w:after="120" w:line="276"/>
      </w:pPr>
      <w:r>
        <w:rPr>
          <w:rFonts w:ascii="Arial" w:cs="Arial" w:eastAsia="Arial" w:hAnsi="Arial"/>
          <w:sz w:val="24"/>
          <w:szCs w:val="24"/>
        </w:rPr>
        <w:t xml:space="preserve">ShiftOps Consulting will deliver this review using our proven discovery-led methodology, developed through over 12 years of local government transformation and refined through previous successful engagements with Westmorland and Furness Council. Our approach is designed to go beyond a traditional desktop review – we combine structured stakeholder engagement, rigorous data analysis, and technology-informed recommendations to deliver findings that are immediately actionable.</w:t>
      </w:r>
    </w:p>
    <w:p>
      <w:pPr>
        <w:spacing w:after="120" w:line="276"/>
      </w:pPr>
      <w:r>
        <w:rPr>
          <w:rFonts w:ascii="Arial" w:cs="Arial" w:eastAsia="Arial" w:hAnsi="Arial"/>
          <w:sz w:val="24"/>
          <w:szCs w:val="24"/>
        </w:rPr>
        <w:t xml:space="preserve">Our methodology follows five phases, each building on the last to ensure that recommendations are rooted in evidence, shaped by the people who use and deliver the service, and aligned with the Council’s Customer Strategy and operating model.</w:t>
      </w:r>
    </w:p>
    <w:p>
      <w:pPr>
        <w:spacing w:before="200" w:after="120" w:line="276"/>
      </w:pPr>
      <w:r>
        <w:rPr>
          <w:rFonts w:ascii="Arial" w:cs="Arial" w:eastAsia="Arial" w:hAnsi="Arial"/>
          <w:b/>
          <w:bCs/>
          <w:color w:val="0D2F4F"/>
          <w:sz w:val="24"/>
          <w:szCs w:val="24"/>
        </w:rPr>
        <w:t xml:space="preserve">Phase 1: Mobilisation and Scoping (Weeks 1–2)</w:t>
      </w:r>
    </w:p>
    <w:p>
      <w:pPr>
        <w:spacing w:after="120" w:line="276"/>
      </w:pPr>
      <w:r>
        <w:rPr>
          <w:rFonts w:ascii="Arial" w:cs="Arial" w:eastAsia="Arial" w:hAnsi="Arial"/>
          <w:sz w:val="24"/>
          <w:szCs w:val="24"/>
        </w:rPr>
        <w:t xml:space="preserve">We will begin with a mobilisation meeting with the project steering group to confirm scope, agree communication protocols, and establish access to SharePoint for document storage and collaboration. During this phase we will:</w:t>
      </w:r>
    </w:p>
    <w:p>
      <w:pPr>
        <w:spacing w:after="120" w:line="276"/>
      </w:pPr>
      <w:r>
        <w:rPr>
          <w:rFonts w:ascii="Arial" w:cs="Arial" w:eastAsia="Arial" w:hAnsi="Arial"/>
          <w:sz w:val="24"/>
          <w:szCs w:val="24"/>
        </w:rPr>
        <w:t xml:space="preserve">Define and agree a Council-wide definition of ‘Out of Hours’ contact, engaging with service leads across all directorates to ensure this captures the full spectrum of OOH activity – from routine customer queries to statutory emergency response and ‘step-up’ arrangements. We will map all service areas that currently operate OOH contact arrangements, identifying the legacy structures inherited from the four predecessor councils and documenting where harmonisation has and has not yet occurred.</w:t>
      </w:r>
    </w:p>
    <w:p>
      <w:pPr>
        <w:spacing w:after="120" w:line="276"/>
      </w:pPr>
      <w:r>
        <w:rPr>
          <w:rFonts w:ascii="Arial" w:cs="Arial" w:eastAsia="Arial" w:hAnsi="Arial"/>
          <w:sz w:val="24"/>
          <w:szCs w:val="24"/>
        </w:rPr>
        <w:t xml:space="preserve">We will request and begin analysing existing data including call logs, email volumes, response times, current staffing rotas, standby and call-out cost data, and any existing process documentation. A stakeholder engagement plan will be developed, identifying key individuals across customer services, adult social care, children’s services, highways, housing, environmental health, and other relevant service areas, as well as elected members, trade union representatives, and community stakeholders.</w:t>
      </w:r>
    </w:p>
    <w:p>
      <w:pPr>
        <w:spacing w:after="120" w:line="276"/>
      </w:pPr>
      <w:r>
        <w:rPr>
          <w:rFonts w:ascii="Arial" w:cs="Arial" w:eastAsia="Arial" w:hAnsi="Arial"/>
          <w:sz w:val="24"/>
          <w:szCs w:val="24"/>
        </w:rPr>
        <w:t xml:space="preserve">A dedicated project plan with milestones will be shared via SharePoint and maintained throughout, with weekly highlight reports provided from this point forward.</w:t>
      </w:r>
    </w:p>
    <w:p>
      <w:pPr>
        <w:spacing w:before="200" w:after="120" w:line="276"/>
      </w:pPr>
      <w:r>
        <w:rPr>
          <w:rFonts w:ascii="Arial" w:cs="Arial" w:eastAsia="Arial" w:hAnsi="Arial"/>
          <w:b/>
          <w:bCs/>
          <w:color w:val="0D2F4F"/>
          <w:sz w:val="24"/>
          <w:szCs w:val="24"/>
        </w:rPr>
        <w:t xml:space="preserve">Phase 2: Discovery and Data Collection (Weeks 3–8)</w:t>
      </w:r>
    </w:p>
    <w:p>
      <w:pPr>
        <w:spacing w:after="120" w:line="276"/>
      </w:pPr>
      <w:r>
        <w:rPr>
          <w:rFonts w:ascii="Arial" w:cs="Arial" w:eastAsia="Arial" w:hAnsi="Arial"/>
          <w:sz w:val="24"/>
          <w:szCs w:val="24"/>
        </w:rPr>
        <w:t xml:space="preserve">This is the most intensive phase and will employ a mixed-methods approach to build a comprehensive picture of the current OOH landscape:</w:t>
      </w:r>
    </w:p>
    <w:p>
      <w:pPr>
        <w:spacing w:after="120" w:line="276"/>
      </w:pPr>
      <w:r>
        <w:rPr>
          <w:rFonts w:ascii="Arial" w:cs="Arial" w:eastAsia="Arial" w:hAnsi="Arial"/>
          <w:b/>
          <w:bCs/>
          <w:sz w:val="24"/>
          <w:szCs w:val="24"/>
        </w:rPr>
        <w:t xml:space="preserve">Stakeholder Workshops and Focus Groups: </w:t>
      </w:r>
      <w:r>
        <w:rPr>
          <w:rFonts w:ascii="Arial" w:cs="Arial" w:eastAsia="Arial" w:hAnsi="Arial"/>
          <w:sz w:val="24"/>
          <w:szCs w:val="24"/>
        </w:rPr>
        <w:t xml:space="preserve">We will facilitate structured workshops with frontline staff, team leaders, duty managers, and service leads to map ‘as is’ processes for each service area. These sessions will capture process flows, pain points, strengths, customer journey maps, and staff feedback. Our workshop methodology – proven through our previous SPA and Home to School Transport discovery work for the Council – uses collaborative process mapping techniques that surface operational reality rather than theoretical procedure.</w:t>
      </w:r>
    </w:p>
    <w:p>
      <w:pPr>
        <w:spacing w:after="120" w:line="276"/>
      </w:pPr>
      <w:r>
        <w:rPr>
          <w:rFonts w:ascii="Arial" w:cs="Arial" w:eastAsia="Arial" w:hAnsi="Arial"/>
          <w:b/>
          <w:bCs/>
          <w:sz w:val="24"/>
          <w:szCs w:val="24"/>
        </w:rPr>
        <w:t xml:space="preserve">Member and Trade Union Engagement: </w:t>
      </w:r>
      <w:r>
        <w:rPr>
          <w:rFonts w:ascii="Arial" w:cs="Arial" w:eastAsia="Arial" w:hAnsi="Arial"/>
          <w:sz w:val="24"/>
          <w:szCs w:val="24"/>
        </w:rPr>
        <w:t xml:space="preserve">We will conduct structured interviews with elected members and trade union representatives to capture their perspectives on resident experience, any concerns raised through casework, and their personal experience of OOH contact arrangements. This engagement recognises the politically sensitive nature of OOH services and ensures that recommendations carry democratic legitimacy.</w:t>
      </w:r>
    </w:p>
    <w:p>
      <w:pPr>
        <w:spacing w:after="120" w:line="276"/>
      </w:pPr>
      <w:r>
        <w:rPr>
          <w:rFonts w:ascii="Arial" w:cs="Arial" w:eastAsia="Arial" w:hAnsi="Arial"/>
          <w:b/>
          <w:bCs/>
          <w:sz w:val="24"/>
          <w:szCs w:val="24"/>
        </w:rPr>
        <w:t xml:space="preserve">Customer Engagement: </w:t>
      </w:r>
      <w:r>
        <w:rPr>
          <w:rFonts w:ascii="Arial" w:cs="Arial" w:eastAsia="Arial" w:hAnsi="Arial"/>
          <w:sz w:val="24"/>
          <w:szCs w:val="24"/>
        </w:rPr>
        <w:t xml:space="preserve">We will design and deploy a customer survey (digital and telephone-accessible) to gather direct feedback on OOH contact experience. This will cover ease of access, satisfaction with resolution, channel preferences, and suggestions for improvement. Where appropriate, we will supplement this with targeted interviews or focus groups with service users who have recent OOH contact experience.</w:t>
      </w:r>
    </w:p>
    <w:p>
      <w:pPr>
        <w:spacing w:after="120" w:line="276"/>
      </w:pPr>
      <w:r>
        <w:rPr>
          <w:rFonts w:ascii="Arial" w:cs="Arial" w:eastAsia="Arial" w:hAnsi="Arial"/>
          <w:b/>
          <w:bCs/>
          <w:sz w:val="24"/>
          <w:szCs w:val="24"/>
        </w:rPr>
        <w:t xml:space="preserve">Data Analysis: </w:t>
      </w:r>
      <w:r>
        <w:rPr>
          <w:rFonts w:ascii="Arial" w:cs="Arial" w:eastAsia="Arial" w:hAnsi="Arial"/>
          <w:sz w:val="24"/>
          <w:szCs w:val="24"/>
        </w:rPr>
        <w:t xml:space="preserve">We will analyse call logs, email volumes, website analytics, and social media interactions to establish a robust baseline of OOH contact volumes, peak periods, resolution rates, and response times. This quantitative analysis will be mapped against staffing levels and cost data to identify efficiency opportunities. We will also review relevant policies, regulatory requirements, employment terms and conditions relating to OOH duty, and existing contractual arrangements for standby and call-out.</w:t>
      </w:r>
    </w:p>
    <w:p>
      <w:pPr>
        <w:spacing w:after="120" w:line="276"/>
      </w:pPr>
      <w:r>
        <w:rPr>
          <w:rFonts w:ascii="Arial" w:cs="Arial" w:eastAsia="Arial" w:hAnsi="Arial"/>
          <w:b/>
          <w:bCs/>
          <w:sz w:val="24"/>
          <w:szCs w:val="24"/>
        </w:rPr>
        <w:t xml:space="preserve">Technology and Channel Review: </w:t>
      </w:r>
      <w:r>
        <w:rPr>
          <w:rFonts w:ascii="Arial" w:cs="Arial" w:eastAsia="Arial" w:hAnsi="Arial"/>
          <w:sz w:val="24"/>
          <w:szCs w:val="24"/>
        </w:rPr>
        <w:t xml:space="preserve">We will assess current digital channels (website, IVR phone systems, online forms) and evaluate how technology – including AI-powered solutions – could be deployed to resolve non-complex customer queries outside working hours. This will include an assessment of chatbot and virtual assistant capabilities, automated triage and routing options, self-service portal opportunities, and integration possibilities with existing systems. We will provide a practical, evidence-based view of what technology can realistically deliver in the Council’s context, avoiding the hype that often surrounds AI implementation and focusing on proven, deployable solutions that improve customer experience whilst reducing demand on staffed services.</w:t>
      </w:r>
    </w:p>
    <w:p>
      <w:pPr>
        <w:spacing w:after="120" w:line="276"/>
      </w:pPr>
      <w:r>
        <w:rPr>
          <w:rFonts w:ascii="Arial" w:cs="Arial" w:eastAsia="Arial" w:hAnsi="Arial"/>
          <w:b/>
          <w:bCs/>
          <w:sz w:val="24"/>
          <w:szCs w:val="24"/>
        </w:rPr>
        <w:t xml:space="preserve">Major Incident and Step-Up Arrangements: </w:t>
      </w:r>
      <w:r>
        <w:rPr>
          <w:rFonts w:ascii="Arial" w:cs="Arial" w:eastAsia="Arial" w:hAnsi="Arial"/>
          <w:sz w:val="24"/>
          <w:szCs w:val="24"/>
        </w:rPr>
        <w:t xml:space="preserve">We will confirm statutory requirements for customer contact during a declared major incident and assess current arrangements. We will also explore the growing need for ‘step-up’ protocols – operational states between BAU and major incident (such as named storm standby) – and assess whether current arrangements are fit for purpose. This will draw on both internal consultation and external best practice.</w:t>
      </w:r>
    </w:p>
    <w:p>
      <w:pPr>
        <w:spacing w:before="200" w:after="120" w:line="276"/>
      </w:pPr>
      <w:r>
        <w:rPr>
          <w:rFonts w:ascii="Arial" w:cs="Arial" w:eastAsia="Arial" w:hAnsi="Arial"/>
          <w:b/>
          <w:bCs/>
          <w:color w:val="0D2F4F"/>
          <w:sz w:val="24"/>
          <w:szCs w:val="24"/>
        </w:rPr>
        <w:t xml:space="preserve">Governance and Quality Assurance</w:t>
      </w:r>
    </w:p>
    <w:p>
      <w:pPr>
        <w:spacing w:after="120" w:line="276"/>
      </w:pPr>
      <w:r>
        <w:rPr>
          <w:rFonts w:ascii="Arial" w:cs="Arial" w:eastAsia="Arial" w:hAnsi="Arial"/>
          <w:sz w:val="24"/>
          <w:szCs w:val="24"/>
        </w:rPr>
        <w:t xml:space="preserve">Robust project governance will be maintained throughout. A steering group will meet weekly, chaired by the Council’s nominated project lead, with ShiftOps providing a standing agenda, highlight report, and updated risk and issues log in advance of each meeting. All project documentation, working papers, data analyses, and draft outputs will be stored on the Council’s SharePoint environment, ensuring full transparency and accessibility. We will agree a RACI matrix during mobilisation to ensure clarity on decision-making authority, particularly for sensitive areas such as engagement with elected members and trade union representatives.</w:t>
      </w:r>
    </w:p>
    <w:p>
      <w:pPr>
        <w:spacing w:before="200" w:after="120" w:line="276"/>
      </w:pPr>
      <w:r>
        <w:rPr>
          <w:rFonts w:ascii="Arial" w:cs="Arial" w:eastAsia="Arial" w:hAnsi="Arial"/>
          <w:b/>
          <w:bCs/>
          <w:color w:val="0D2F4F"/>
          <w:sz w:val="24"/>
          <w:szCs w:val="24"/>
        </w:rPr>
        <w:t xml:space="preserve">Phase 3: Benchmarking (Weeks 6–10)</w:t>
      </w:r>
    </w:p>
    <w:p>
      <w:pPr>
        <w:spacing w:after="120" w:line="276"/>
      </w:pPr>
      <w:r>
        <w:rPr>
          <w:rFonts w:ascii="Arial" w:cs="Arial" w:eastAsia="Arial" w:hAnsi="Arial"/>
          <w:sz w:val="24"/>
          <w:szCs w:val="24"/>
        </w:rPr>
        <w:t xml:space="preserve">Running in parallel with later discovery activity, we will conduct a structured benchmarking exercise against the six named neighbouring authorities (Cumberland, Lancashire, North Yorkshire, Durham, Northumberland, and Newcastle) plus additional comparator authorities where relevant. This will cover OOH operating models, staffing arrangements, technology deployment, costs, and customer satisfaction measures. We will also review published best practice from the Local Government Association and other sector bodies.</w:t>
      </w:r>
    </w:p>
    <w:p>
      <w:pPr>
        <w:spacing w:after="120" w:line="276"/>
      </w:pPr>
      <w:r>
        <w:rPr>
          <w:rFonts w:ascii="Arial" w:cs="Arial" w:eastAsia="Arial" w:hAnsi="Arial"/>
          <w:sz w:val="24"/>
          <w:szCs w:val="24"/>
        </w:rPr>
        <w:t xml:space="preserve">Our benchmarking approach goes beyond simple comparison – we will identify transferable innovations and assess their applicability to Westmorland and Furness’s specific geography, demographics, and service configuration. The rural nature of much of the Council’s area, combined with the legacy of four predecessor authorities, creates unique challenges that a generic benchmarking exercise would miss. We will seek to understand not just what other authorities do, but why their approaches work and what conditions enabled success – ensuring that any recommended adoption is grounded in practical transferability.</w:t>
      </w:r>
    </w:p>
    <w:p>
      <w:pPr>
        <w:spacing w:before="200" w:after="120" w:line="276"/>
      </w:pPr>
      <w:r>
        <w:rPr>
          <w:rFonts w:ascii="Arial" w:cs="Arial" w:eastAsia="Arial" w:hAnsi="Arial"/>
          <w:b/>
          <w:bCs/>
          <w:color w:val="0D2F4F"/>
          <w:sz w:val="24"/>
          <w:szCs w:val="24"/>
        </w:rPr>
        <w:t xml:space="preserve">Phase 4: Analysis and Options Development (Weeks 10–14)</w:t>
      </w:r>
    </w:p>
    <w:p>
      <w:pPr>
        <w:spacing w:after="120" w:line="276"/>
      </w:pPr>
      <w:r>
        <w:rPr>
          <w:rFonts w:ascii="Arial" w:cs="Arial" w:eastAsia="Arial" w:hAnsi="Arial"/>
          <w:sz w:val="24"/>
          <w:szCs w:val="24"/>
        </w:rPr>
        <w:t xml:space="preserve">We will synthesise all discovery findings, data analysis, and benchmarking intelligence into a coherent analytical framework. This will include a comprehensive SWOT analysis of current OOH arrangements, identification of options for improvement (ranging from quick wins to longer-term structural changes), cost-benefit analysis of key recommendations, and risk assessment for each proposed change.</w:t>
      </w:r>
    </w:p>
    <w:p>
      <w:pPr>
        <w:spacing w:after="120" w:line="276"/>
      </w:pPr>
      <w:r>
        <w:rPr>
          <w:rFonts w:ascii="Arial" w:cs="Arial" w:eastAsia="Arial" w:hAnsi="Arial"/>
          <w:sz w:val="24"/>
          <w:szCs w:val="24"/>
        </w:rPr>
        <w:t xml:space="preserve">Options will be developed collaboratively with the steering group through a structured options appraisal workshop, ensuring that recommendations reflect operational feasibility, financial constraints, and strategic alignment with the Council’s Customer Strategy and transformation programme. We will present a draft findings session to the steering group before finalising the report, allowing for challenge, clarification, and refinement.</w:t>
      </w:r>
    </w:p>
    <w:p>
      <w:pPr>
        <w:spacing w:before="200" w:after="120" w:line="276"/>
      </w:pPr>
      <w:r>
        <w:rPr>
          <w:rFonts w:ascii="Arial" w:cs="Arial" w:eastAsia="Arial" w:hAnsi="Arial"/>
          <w:b/>
          <w:bCs/>
          <w:color w:val="0D2F4F"/>
          <w:sz w:val="24"/>
          <w:szCs w:val="24"/>
        </w:rPr>
        <w:t xml:space="preserve">Phase 5: Final Report and Recommendations (Weeks 14–16)</w:t>
      </w:r>
    </w:p>
    <w:p>
      <w:pPr>
        <w:spacing w:after="120" w:line="276"/>
      </w:pPr>
      <w:r>
        <w:rPr>
          <w:rFonts w:ascii="Arial" w:cs="Arial" w:eastAsia="Arial" w:hAnsi="Arial"/>
          <w:sz w:val="24"/>
          <w:szCs w:val="24"/>
        </w:rPr>
        <w:t xml:space="preserve">The final deliverable will be a comprehensive report containing: an organisational overview of all OOH contact arrangements with process maps for each service area; a baseline of volumes, costs, staffing, and performance metrics; a SWOT analysis; benchmarking findings; customer and stakeholder feedback analysis; identification of regulatory and statutory requirements; and prioritised recommendations with a high-level SMART action plan.</w:t>
      </w:r>
    </w:p>
    <w:p>
      <w:pPr>
        <w:spacing w:after="120" w:line="276"/>
      </w:pPr>
      <w:r>
        <w:rPr>
          <w:rFonts w:ascii="Arial" w:cs="Arial" w:eastAsia="Arial" w:hAnsi="Arial"/>
          <w:sz w:val="24"/>
          <w:szCs w:val="24"/>
        </w:rPr>
        <w:t xml:space="preserve">Recommendations will be categorised as quick wins (implementable within 3 months), medium-term improvements (3–12 months), and longer-term transformation initiatives (12+ months). Each recommendation will include an assessment of expected impact, estimated cost, resource requirements, and dependencies. The report will be presented to the steering group and, if required, to senior leadership or members.</w:t>
      </w:r>
    </w:p>
    <w:p>
      <w:pPr>
        <w:spacing w:before="200" w:after="120" w:line="276"/>
      </w:pPr>
      <w:r>
        <w:rPr>
          <w:rFonts w:ascii="Arial" w:cs="Arial" w:eastAsia="Arial" w:hAnsi="Arial"/>
          <w:b/>
          <w:bCs/>
          <w:color w:val="0D2F4F"/>
          <w:sz w:val="24"/>
          <w:szCs w:val="24"/>
        </w:rPr>
        <w:t xml:space="preserve">Innovation and Added Value</w:t>
      </w:r>
    </w:p>
    <w:p>
      <w:pPr>
        <w:spacing w:after="120" w:line="276"/>
      </w:pPr>
      <w:r>
        <w:rPr>
          <w:rFonts w:ascii="Arial" w:cs="Arial" w:eastAsia="Arial" w:hAnsi="Arial"/>
          <w:sz w:val="24"/>
          <w:szCs w:val="24"/>
        </w:rPr>
        <w:t xml:space="preserve">Throughout this engagement, we will bring innovation and added value beyond the stated specification. Drawing on our experience implementing AI and automation solutions for organisations at all stages of digital maturity, we will specifically assess opportunities for AI-enhanced OOH customer contact, including natural language processing for email triage, intelligent call routing, and predictive demand modelling based on historical contact patterns and external factors (weather events, seasonal trends). We will also explore how low-code automation platforms could streamline internal handoff processes and reduce the duplicate data entry that characterises many multi-system council environments.</w:t>
      </w:r>
    </w:p>
    <w:p>
      <w:pPr>
        <w:spacing w:after="120" w:line="276"/>
      </w:pPr>
      <w:r>
        <w:rPr>
          <w:rFonts w:ascii="Arial" w:cs="Arial" w:eastAsia="Arial" w:hAnsi="Arial"/>
          <w:sz w:val="24"/>
          <w:szCs w:val="24"/>
        </w:rPr>
        <w:t xml:space="preserve">Our previous work for the Council on the Adult Social Care Single Point of Access and Home to School Transport reviews means we already understand the organisational culture, system landscape, and transformation appetite. This institutional knowledge will accelerate mobilisation, reduce the learning curve, and ensure recommendations are grounded in what will actually work within Westmorland and Furness.</w:t>
      </w:r>
    </w:p>
    <w:p>
      <w:pPr>
        <w:spacing w:before="200" w:after="120" w:line="276"/>
      </w:pPr>
      <w:r>
        <w:rPr>
          <w:rFonts w:ascii="Arial" w:cs="Arial" w:eastAsia="Arial" w:hAnsi="Arial"/>
          <w:b/>
          <w:bCs/>
          <w:color w:val="0D2F4F"/>
          <w:sz w:val="24"/>
          <w:szCs w:val="24"/>
        </w:rPr>
        <w:t xml:space="preserve">Project Plan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44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Phase / Timeframe</w:t>
            </w:r>
          </w:p>
        </w:tc>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Key Activities</w:t>
            </w:r>
          </w:p>
        </w:tc>
        <w:tc>
          <w:tcPr>
            <w:tcW w:type="dxa" w:w="24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Deliverables</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Phase 1
Weeks 1–2
(Feb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Mobilisation, scoping, steering group established, data requests issued, stakeholder mapping, SharePoint setup, comms plan agreed</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Project plan, stakeholder map, data request schedule</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Phase 2
Weeks 3–8
(Mar–Apr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Workshops, focus groups, member/TU engagement, customer surveys, data analysis, technology review, major incident assessment</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Process maps, data baseline, survey results, channel assessment</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Phase 3
Weeks 6–10
(Apr–May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Benchmarking against 6+ neighbouring authorities, LGA best practice review</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Benchmarking report</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Phase 4
Weeks 10–14
(May–Jun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Analysis, SWOT, options development, cost-benefit assessment, draft findings session with steering group</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Draft report, options appraisal</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Phase 5
Weeks 14–16
(Jun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Final report with SMART action plan, presentation to steering group and senior leadership</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Final report, SMART action plan, presentation</w:t>
            </w:r>
          </w:p>
        </w:tc>
      </w:tr>
    </w:tbl>
    <w:p>
      <w:pPr>
        <w:spacing w:after="60"/>
      </w:pPr>
    </w:p>
    <w:p>
      <w:pPr>
        <w:spacing w:after="120" w:line="276"/>
      </w:pPr>
      <w:r>
        <w:rPr>
          <w:rFonts w:ascii="Arial" w:cs="Arial" w:eastAsia="Arial" w:hAnsi="Arial"/>
          <w:b/>
          <w:bCs/>
          <w:sz w:val="24"/>
          <w:szCs w:val="24"/>
        </w:rPr>
        <w:t xml:space="preserve">Throughout all phases: </w:t>
      </w:r>
      <w:r>
        <w:rPr>
          <w:rFonts w:ascii="Arial" w:cs="Arial" w:eastAsia="Arial" w:hAnsi="Arial"/>
          <w:sz w:val="24"/>
          <w:szCs w:val="24"/>
        </w:rPr>
        <w:t xml:space="preserve">Weekly steering group attendance, weekly highlight reports, and ongoing SharePoint documentation maintained as standard.</w:t>
      </w:r>
    </w:p>
    <w:p>
      <w:r>
        <w:br w:type="page"/>
      </w:r>
    </w:p>
    <w:p>
      <w:pPr>
        <w:spacing w:before="240" w:after="160" w:line="276"/>
      </w:pPr>
      <w:r>
        <w:rPr>
          <w:rFonts w:ascii="Arial" w:cs="Arial" w:eastAsia="Arial" w:hAnsi="Arial"/>
          <w:b/>
          <w:bCs/>
          <w:color w:val="1B4F72"/>
          <w:sz w:val="28"/>
          <w:szCs w:val="28"/>
        </w:rPr>
        <w:t xml:space="preserve">Question 2 – Relevant Experience (250 Points)</w:t>
      </w:r>
    </w:p>
    <w:p>
      <w:pPr>
        <w:spacing w:after="120" w:line="276"/>
      </w:pPr>
      <w:r>
        <w:rPr>
          <w:rFonts w:ascii="Arial" w:cs="Arial" w:eastAsia="Arial" w:hAnsi="Arial"/>
          <w:i/>
          <w:iCs/>
          <w:color w:val="666666"/>
          <w:sz w:val="24"/>
          <w:szCs w:val="24"/>
        </w:rPr>
        <w:t xml:space="preserve">Please provide details and examples of previous relevant experience.</w:t>
      </w:r>
    </w:p>
    <w:p>
      <w:pPr>
        <w:spacing w:after="60"/>
      </w:pPr>
    </w:p>
    <w:p>
      <w:pPr>
        <w:spacing w:before="200" w:after="120" w:line="276"/>
      </w:pPr>
      <w:r>
        <w:rPr>
          <w:rFonts w:ascii="Arial" w:cs="Arial" w:eastAsia="Arial" w:hAnsi="Arial"/>
          <w:b/>
          <w:bCs/>
          <w:color w:val="0D2F4F"/>
          <w:sz w:val="24"/>
          <w:szCs w:val="24"/>
        </w:rPr>
        <w:t xml:space="preserve">About ShiftOps Consulting</w:t>
      </w:r>
    </w:p>
    <w:p>
      <w:pPr>
        <w:spacing w:after="120" w:line="276"/>
      </w:pPr>
      <w:r>
        <w:rPr>
          <w:rFonts w:ascii="Arial" w:cs="Arial" w:eastAsia="Arial" w:hAnsi="Arial"/>
          <w:sz w:val="24"/>
          <w:szCs w:val="24"/>
        </w:rPr>
        <w:t xml:space="preserve">ShiftOps Consulting is a specialist business transformation consultancy led by Adam Copeland, who brings over 12 years of hands-on experience in local government transformation, digital enablement, and service redesign. We work exclusively with organisations navigating complex change – helping them move from fragmented legacy arrangements to streamlined, customer-focused operating models. Our approach combines deep sector knowledge with practical delivery capability, ensuring that recommendations are not just strategically sound but operationally achievable.</w:t>
      </w:r>
    </w:p>
    <w:p>
      <w:pPr>
        <w:spacing w:before="200" w:after="120" w:line="276"/>
      </w:pPr>
      <w:r>
        <w:rPr>
          <w:rFonts w:ascii="Arial" w:cs="Arial" w:eastAsia="Arial" w:hAnsi="Arial"/>
          <w:b/>
          <w:bCs/>
          <w:color w:val="0D2F4F"/>
          <w:sz w:val="24"/>
          <w:szCs w:val="24"/>
        </w:rPr>
        <w:t xml:space="preserve">Directly Relevant Experience with Westmorland and Furness Council</w:t>
      </w:r>
    </w:p>
    <w:p>
      <w:pPr>
        <w:spacing w:after="120" w:line="276"/>
      </w:pPr>
      <w:r>
        <w:rPr>
          <w:rFonts w:ascii="Arial" w:cs="Arial" w:eastAsia="Arial" w:hAnsi="Arial"/>
          <w:sz w:val="24"/>
          <w:szCs w:val="24"/>
        </w:rPr>
        <w:t xml:space="preserve">We have delivered two previous discovery and review engagements for Westmorland and Furness Council, both of which are directly relevant to this Out-of-Hours Contact Review:</w:t>
      </w:r>
    </w:p>
    <w:p>
      <w:pPr>
        <w:spacing w:after="120" w:line="276"/>
      </w:pPr>
      <w:r>
        <w:rPr>
          <w:rFonts w:ascii="Arial" w:cs="Arial" w:eastAsia="Arial" w:hAnsi="Arial"/>
          <w:b/>
          <w:bCs/>
          <w:sz w:val="24"/>
          <w:szCs w:val="24"/>
        </w:rPr>
        <w:t xml:space="preserve">1. Adult Social Care Single Point of Access (SPA) Discovery Review</w:t>
      </w:r>
    </w:p>
    <w:p>
      <w:pPr>
        <w:spacing w:after="120" w:line="276"/>
      </w:pPr>
      <w:r>
        <w:rPr>
          <w:rFonts w:ascii="Arial" w:cs="Arial" w:eastAsia="Arial" w:hAnsi="Arial"/>
          <w:sz w:val="24"/>
          <w:szCs w:val="24"/>
        </w:rPr>
        <w:t xml:space="preserve">ShiftOps was commissioned to conduct a discovery review of the Adult Social Care Single Point of Access – the primary ‘front door’ for adult social care services. This engagement involved facilitating cross-service workshops bringing together SPA customer service staff and ASC practitioners to map current processes, identify strengths and pain points, and develop improvement recommendations.</w:t>
      </w:r>
    </w:p>
    <w:p>
      <w:pPr>
        <w:spacing w:after="120" w:line="276"/>
      </w:pPr>
      <w:r>
        <w:rPr>
          <w:rFonts w:ascii="Arial" w:cs="Arial" w:eastAsia="Arial" w:hAnsi="Arial"/>
          <w:sz w:val="24"/>
          <w:szCs w:val="24"/>
        </w:rPr>
        <w:t xml:space="preserve">The review produced comprehensive ‘as is’ process maps for both new customer journeys and returning service user journeys, identified systemic breakdowns including duplicate data entry across multiple systems (IAS, Liberty, CRM), communication gaps between the front door and back-office teams, and unclear handoff protocols for complex multi-need cases. We delivered both short-term quick wins (standard operating procedures for returning customers, phone menu simplification, immediate caller feedback mechanisms, enhanced staff training) and longer-term structural recommendations (integrated systems and single customer view, process redesign for complex case handoffs, strengthened feedback loops, expanded preventative service pathways).</w:t>
      </w:r>
    </w:p>
    <w:p>
      <w:pPr>
        <w:spacing w:after="120" w:line="276"/>
      </w:pPr>
      <w:r>
        <w:rPr>
          <w:rFonts w:ascii="Arial" w:cs="Arial" w:eastAsia="Arial" w:hAnsi="Arial"/>
          <w:sz w:val="24"/>
          <w:szCs w:val="24"/>
        </w:rPr>
        <w:t xml:space="preserve">This work is directly analogous to the OOH review – it required mapping fragmented customer contact arrangements across multiple teams, engaging with frontline staff and service users, identifying where legacy structures were creating friction, and recommending practical improvements aligned to the Council’s Customer Strategy. The methodology, stakeholder relationships, and organisational understanding developed through this engagement will directly accelerate the OOH review. Critically, the SPA review demonstrated our ability to navigate the political and workforce sensitivities inherent in reviewing frontline contact services – engaging trade union perspectives, respecting the emotional impact on staff of process change, and ensuring recommendations were co-designed rather than imposed.</w:t>
      </w:r>
    </w:p>
    <w:p>
      <w:pPr>
        <w:spacing w:after="120" w:line="276"/>
      </w:pPr>
      <w:r>
        <w:rPr>
          <w:rFonts w:ascii="Arial" w:cs="Arial" w:eastAsia="Arial" w:hAnsi="Arial"/>
          <w:b/>
          <w:bCs/>
          <w:sz w:val="24"/>
          <w:szCs w:val="24"/>
        </w:rPr>
        <w:t xml:space="preserve">2. Home to School Transport Discovery Review</w:t>
      </w:r>
    </w:p>
    <w:p>
      <w:pPr>
        <w:spacing w:after="120" w:line="276"/>
      </w:pPr>
      <w:r>
        <w:rPr>
          <w:rFonts w:ascii="Arial" w:cs="Arial" w:eastAsia="Arial" w:hAnsi="Arial"/>
          <w:sz w:val="24"/>
          <w:szCs w:val="24"/>
        </w:rPr>
        <w:t xml:space="preserve">ShiftOps delivered a discovery review of the Home to School Transport service, which faced similar challenges arising from the merger of four predecessor councils. This engagement involved structured discovery workshops with operational staff and managers, benchmarking against other local authorities, customer persona development, end-to-end process mapping, and the production of a phased recommendations report aligned to the Council’s design principles.</w:t>
      </w:r>
    </w:p>
    <w:p>
      <w:pPr>
        <w:spacing w:after="120" w:line="276"/>
      </w:pPr>
      <w:r>
        <w:rPr>
          <w:rFonts w:ascii="Arial" w:cs="Arial" w:eastAsia="Arial" w:hAnsi="Arial"/>
          <w:sz w:val="24"/>
          <w:szCs w:val="24"/>
        </w:rPr>
        <w:t xml:space="preserve">The review identified significant opportunities for process harmonisation, digital channel development, and efficiency improvement. Recommendations were structured as immediate, medium-term, and longer-term actions with clear ownership and success measures. The Council received this work extremely positively, describing it as providing the clarity and evidence base needed to drive forward a complex transformation programme. The project demonstrated our ability to rapidly engage with operational teams, build trust with staff who are understandably cautious about external review, and deliver findings that feel grounded in reality rather than detached consultancy theory.</w:t>
      </w:r>
    </w:p>
    <w:p>
      <w:pPr>
        <w:spacing w:before="200" w:after="120" w:line="276"/>
      </w:pPr>
      <w:r>
        <w:rPr>
          <w:rFonts w:ascii="Arial" w:cs="Arial" w:eastAsia="Arial" w:hAnsi="Arial"/>
          <w:b/>
          <w:bCs/>
          <w:color w:val="0D2F4F"/>
          <w:sz w:val="24"/>
          <w:szCs w:val="24"/>
        </w:rPr>
        <w:t xml:space="preserve">Wider Local Government Transformation Experience</w:t>
      </w:r>
    </w:p>
    <w:p>
      <w:pPr>
        <w:spacing w:after="120" w:line="276"/>
      </w:pPr>
      <w:r>
        <w:rPr>
          <w:rFonts w:ascii="Arial" w:cs="Arial" w:eastAsia="Arial" w:hAnsi="Arial"/>
          <w:sz w:val="24"/>
          <w:szCs w:val="24"/>
        </w:rPr>
        <w:t xml:space="preserve">Prior to founding ShiftOps Consulting, Adam Copeland spent over 12 years working in and with local government on transformation, digital, and service redesign programmes. This experience spans multiple authorities and service areas, providing a depth of understanding of how councils operate, how customers interact with complex public services, and how to navigate the political, operational, and workforce dimensions of change. This background means we understand not just the technical aspects of an OOH review but also the organisational dynamics – the importance of trade union engagement, the sensitivities around changes to terms and conditions, the political scrutiny that frontline services attract, and the practical reality of implementing change in a post-reorganisation environment where harmonisation fatigue is real.</w:t>
      </w:r>
    </w:p>
    <w:p>
      <w:pPr>
        <w:spacing w:before="200" w:after="120" w:line="276"/>
      </w:pPr>
      <w:r>
        <w:rPr>
          <w:rFonts w:ascii="Arial" w:cs="Arial" w:eastAsia="Arial" w:hAnsi="Arial"/>
          <w:b/>
          <w:bCs/>
          <w:color w:val="0D2F4F"/>
          <w:sz w:val="24"/>
          <w:szCs w:val="24"/>
        </w:rPr>
        <w:t xml:space="preserve">Technical and Digital Capability</w:t>
      </w:r>
    </w:p>
    <w:p>
      <w:pPr>
        <w:spacing w:after="120" w:line="276"/>
      </w:pPr>
      <w:r>
        <w:rPr>
          <w:rFonts w:ascii="Arial" w:cs="Arial" w:eastAsia="Arial" w:hAnsi="Arial"/>
          <w:sz w:val="24"/>
          <w:szCs w:val="24"/>
        </w:rPr>
        <w:t xml:space="preserve">ShiftOps brings specialist capability in digital transformation, AI implementation, and process automation. We work with organisations to identify where technology can genuinely improve customer experience and operational efficiency – distinguishing between hype and practical, deployable solutions. For this review, this means we can provide an informed, realistic assessment of how AI chatbots, automated triage, self-service portals, and intelligent routing could enhance OOH customer contact – grounded in practical implementation experience rather than theoretical possibility.</w:t>
      </w:r>
    </w:p>
    <w:p>
      <w:pPr>
        <w:spacing w:before="200" w:after="120" w:line="276"/>
      </w:pPr>
      <w:r>
        <w:rPr>
          <w:rFonts w:ascii="Arial" w:cs="Arial" w:eastAsia="Arial" w:hAnsi="Arial"/>
          <w:b/>
          <w:bCs/>
          <w:color w:val="0D2F4F"/>
          <w:sz w:val="24"/>
          <w:szCs w:val="24"/>
        </w:rPr>
        <w:t xml:space="preserve">Professional Indemnity and Insurance</w:t>
      </w:r>
    </w:p>
    <w:p>
      <w:pPr>
        <w:spacing w:after="120" w:line="276"/>
      </w:pPr>
      <w:r>
        <w:rPr>
          <w:rFonts w:ascii="Arial" w:cs="Arial" w:eastAsia="Arial" w:hAnsi="Arial"/>
          <w:sz w:val="24"/>
          <w:szCs w:val="24"/>
        </w:rPr>
        <w:t xml:space="preserve">ShiftOps Consulting holds Professional Indemnity Insurance with Hiscox, providing cover of £5,000,000. Full policy details are available on request.</w:t>
      </w:r>
    </w:p>
    <w:p>
      <w:r>
        <w:br w:type="page"/>
      </w:r>
    </w:p>
    <w:p>
      <w:pPr>
        <w:spacing w:before="240" w:after="160" w:line="276"/>
      </w:pPr>
      <w:r>
        <w:rPr>
          <w:rFonts w:ascii="Arial" w:cs="Arial" w:eastAsia="Arial" w:hAnsi="Arial"/>
          <w:b/>
          <w:bCs/>
          <w:color w:val="1B4F72"/>
          <w:sz w:val="28"/>
          <w:szCs w:val="28"/>
        </w:rPr>
        <w:t xml:space="preserve">Question 3 – Commitment to Timeline (100 Points)</w:t>
      </w:r>
    </w:p>
    <w:p>
      <w:pPr>
        <w:spacing w:after="120" w:line="276"/>
      </w:pPr>
      <w:r>
        <w:rPr>
          <w:rFonts w:ascii="Arial" w:cs="Arial" w:eastAsia="Arial" w:hAnsi="Arial"/>
          <w:i/>
          <w:iCs/>
          <w:color w:val="666666"/>
          <w:sz w:val="24"/>
          <w:szCs w:val="24"/>
        </w:rPr>
        <w:t xml:space="preserve">Are you able to commit to the estimated timeline as set out above?</w:t>
      </w:r>
    </w:p>
    <w:p>
      <w:pPr>
        <w:spacing w:after="60"/>
      </w:pPr>
    </w:p>
    <w:p>
      <w:pPr>
        <w:spacing w:after="120" w:line="276"/>
      </w:pPr>
      <w:r>
        <w:rPr>
          <w:rFonts w:ascii="Arial" w:cs="Arial" w:eastAsia="Arial" w:hAnsi="Arial"/>
          <w:sz w:val="24"/>
          <w:szCs w:val="24"/>
        </w:rPr>
        <w:t xml:space="preserve">Yes. ShiftOps Consulting fully commits to the estimated timeline set out in the RFQ and confirms availability to deliver within the specified programme: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100"/>
        <w:gridCol w:w="244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Milestone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RFQ Timeline</w:t>
            </w:r>
          </w:p>
        </w:tc>
        <w:tc>
          <w:tcPr>
            <w:tcW w:type="dxa" w:w="24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ShiftOps Commitment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Contract commencement</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16th February 2026</w:t>
            </w:r>
          </w:p>
        </w:tc>
        <w:tc>
          <w:tcPr>
            <w:tcW w:type="dxa" w:w="24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Confirmed – available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Mobilisation complete</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February 2026</w:t>
            </w:r>
          </w:p>
        </w:tc>
        <w:tc>
          <w:tcPr>
            <w:tcW w:type="dxa" w:w="24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Confirmed – by end Feb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Data collection commenced</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March 2026</w:t>
            </w:r>
          </w:p>
        </w:tc>
        <w:tc>
          <w:tcPr>
            <w:tcW w:type="dxa" w:w="24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Confirmed – from w/c 2 Mar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Data collected, analysis commenced</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April 2026</w:t>
            </w:r>
          </w:p>
        </w:tc>
        <w:tc>
          <w:tcPr>
            <w:tcW w:type="dxa" w:w="24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Confirmed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Report with recommendations</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May/June 2026</w:t>
            </w:r>
          </w:p>
        </w:tc>
        <w:tc>
          <w:tcPr>
            <w:tcW w:type="dxa" w:w="24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Confirmed – by mid-June</w:t>
            </w:r>
          </w:p>
        </w:tc>
      </w:tr>
    </w:tbl>
    <w:p>
      <w:pPr>
        <w:spacing w:after="60"/>
      </w:pPr>
    </w:p>
    <w:p>
      <w:pPr>
        <w:spacing w:after="120" w:line="276"/>
      </w:pPr>
      <w:r>
        <w:rPr>
          <w:rFonts w:ascii="Arial" w:cs="Arial" w:eastAsia="Arial" w:hAnsi="Arial"/>
          <w:sz w:val="24"/>
          <w:szCs w:val="24"/>
        </w:rPr>
        <w:t xml:space="preserve">This project will be my primary engagement during the contract period, ensuring dedicated focus and consistent availability. I have no conflicting commitments that would impede delivery against any milestone. As a sole practitioner for this engagement, there is no risk of key personnel being reassigned or resource conflicts arising – the person who wins this contract is the person who delivers the work.</w:t>
      </w:r>
    </w:p>
    <w:p>
      <w:pPr>
        <w:spacing w:after="120" w:line="276"/>
      </w:pPr>
      <w:r>
        <w:rPr>
          <w:rFonts w:ascii="Arial" w:cs="Arial" w:eastAsia="Arial" w:hAnsi="Arial"/>
          <w:sz w:val="24"/>
          <w:szCs w:val="24"/>
        </w:rPr>
        <w:t xml:space="preserve">My previous experience delivering the SPA Discovery Review and Home to School Transport Review for the Council means I already understand the organisational structure, key stakeholders, system landscape, and working culture. This significantly reduces the mobilisation period – I do not need to spend weeks learning the organisation. I can be productive from day one of the contract, ensuring that the February mobilisation phase is genuinely used for scoping and data collection setup rather than orientation.</w:t>
      </w:r>
    </w:p>
    <w:p>
      <w:pPr>
        <w:spacing w:after="120" w:line="276"/>
      </w:pPr>
      <w:r>
        <w:rPr>
          <w:rFonts w:ascii="Arial" w:cs="Arial" w:eastAsia="Arial" w:hAnsi="Arial"/>
          <w:sz w:val="24"/>
          <w:szCs w:val="24"/>
        </w:rPr>
        <w:t xml:space="preserve">I am fully committed to attending weekly steering group meetings (in person or remotely as preferred), providing weekly highlight reports, and maintaining all project documentation on the Council’s SharePoint environment. I will maintain an updated project plan shared at regular intervals as specified, and will proactively flag any risks to timeline at the earliest opportunity. I am also flexible on scheduling workshops and stakeholder sessions around the availability of Council staff, elected members, and trade union representatives – including availability for evening or early sessions if required to accommodate member diaries.</w:t>
      </w:r>
    </w:p>
    <w:p>
      <w:pPr>
        <w:spacing w:after="120" w:line="276"/>
      </w:pPr>
      <w:r>
        <w:rPr>
          <w:rFonts w:ascii="Arial" w:cs="Arial" w:eastAsia="Arial" w:hAnsi="Arial"/>
          <w:sz w:val="24"/>
          <w:szCs w:val="24"/>
        </w:rPr>
        <w:t xml:space="preserve">My existing familiarity with the Council’s stakeholder landscape from the SPA and HtS Transport reviews means I can hit the ground running with engagement planning. I already understand the governance structures, key service areas, and working relationships between customer services and operational teams, which eliminates the orientation period that a new consultant would require.</w:t>
      </w:r>
    </w:p>
    <w:p>
      <w:pPr>
        <w:spacing w:after="120" w:line="276"/>
      </w:pPr>
      <w:r>
        <w:rPr>
          <w:rFonts w:ascii="Arial" w:cs="Arial" w:eastAsia="Arial" w:hAnsi="Arial"/>
          <w:sz w:val="24"/>
          <w:szCs w:val="24"/>
        </w:rPr>
        <w:t xml:space="preserve">In the unlikely event that any phase requires additional effort to maintain quality, I will absorb this within the quoted price rather than seek timeline extensions. The Council can be confident that the mid-June deadline for final report delivery will be met. I view this engagement as an opportunity to build on the productive working relationship already established and to deliver a report that genuinely drives improvement in how residents experience contacting the Council outside working hours.</w:t>
      </w:r>
    </w:p>
    <w:p>
      <w:r>
        <w:br w:type="page"/>
      </w:r>
    </w:p>
    <w:p>
      <w:pPr>
        <w:spacing w:before="300" w:after="200" w:line="276"/>
      </w:pPr>
      <w:r>
        <w:rPr>
          <w:rFonts w:ascii="Arial" w:cs="Arial" w:eastAsia="Arial" w:hAnsi="Arial"/>
          <w:b/>
          <w:bCs/>
          <w:color w:val="1B4F72"/>
          <w:sz w:val="32"/>
          <w:szCs w:val="32"/>
        </w:rPr>
        <w:t xml:space="preserve">Schedule 3 – Pricing Submission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170"/>
        <w:gridCol w:w="3170"/>
      </w:tblGrid>
      <w:tr>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Item</w:t>
            </w:r>
          </w:p>
        </w:tc>
        <w:tc>
          <w:tcPr>
            <w:tcW w:type="dxa" w:w="317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Costs (Exclusive of VAT)</w:t>
            </w:r>
          </w:p>
        </w:tc>
        <w:tc>
          <w:tcPr>
            <w:tcW w:type="dxa" w:w="317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2"/>
                <w:szCs w:val="22"/>
              </w:rPr>
              <w:t xml:space="preserve">Costs (Inclusive of VAT)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Cost for project management</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£4,500.00</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£5,400.00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Cost for data collection</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£12,000.00</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£14,400.00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sz w:val="22"/>
                <w:szCs w:val="22"/>
              </w:rPr>
              <w:t xml:space="preserve">Cost for analysis and report</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£8,500.00</w:t>
            </w:r>
          </w:p>
        </w:tc>
        <w:tc>
          <w:tcPr>
            <w:tcW w:type="dxa" w:w="3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center"/>
            </w:pPr>
            <w:r>
              <w:rPr>
                <w:rFonts w:ascii="Arial" w:cs="Arial" w:eastAsia="Arial" w:hAnsi="Arial"/>
                <w:sz w:val="22"/>
                <w:szCs w:val="22"/>
              </w:rPr>
              <w:t xml:space="preserve">£10,200.00</w:t>
            </w:r>
          </w:p>
        </w:tc>
      </w:tr>
      <w:tr>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left"/>
            </w:pPr>
            <w:r>
              <w:rPr>
                <w:rFonts w:ascii="Arial" w:cs="Arial" w:eastAsia="Arial" w:hAnsi="Arial"/>
                <w:b/>
                <w:bCs/>
                <w:sz w:val="22"/>
                <w:szCs w:val="22"/>
              </w:rPr>
              <w:t xml:space="preserve">Total Cost</w:t>
            </w:r>
          </w:p>
        </w:tc>
        <w:tc>
          <w:tcPr>
            <w:tcW w:type="dxa" w:w="317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center"/>
            </w:pPr>
            <w:r>
              <w:rPr>
                <w:rFonts w:ascii="Arial" w:cs="Arial" w:eastAsia="Arial" w:hAnsi="Arial"/>
                <w:b/>
                <w:bCs/>
                <w:sz w:val="22"/>
                <w:szCs w:val="22"/>
              </w:rPr>
              <w:t xml:space="preserve">£25,000.00</w:t>
            </w:r>
          </w:p>
        </w:tc>
        <w:tc>
          <w:tcPr>
            <w:tcW w:type="dxa" w:w="317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jc w:val="center"/>
            </w:pPr>
            <w:r>
              <w:rPr>
                <w:rFonts w:ascii="Arial" w:cs="Arial" w:eastAsia="Arial" w:hAnsi="Arial"/>
                <w:b/>
                <w:bCs/>
                <w:sz w:val="22"/>
                <w:szCs w:val="22"/>
              </w:rPr>
              <w:t xml:space="preserve">£30,000.00</w:t>
            </w:r>
          </w:p>
        </w:tc>
      </w:tr>
    </w:tbl>
    <w:p>
      <w:pPr>
        <w:spacing w:after="60"/>
      </w:pPr>
    </w:p>
    <w:p>
      <w:pPr>
        <w:spacing w:after="120" w:line="276"/>
      </w:pPr>
      <w:r>
        <w:rPr>
          <w:rFonts w:ascii="Arial" w:cs="Arial" w:eastAsia="Arial" w:hAnsi="Arial"/>
          <w:b/>
          <w:bCs/>
          <w:sz w:val="24"/>
          <w:szCs w:val="24"/>
        </w:rPr>
        <w:t xml:space="preserve">Note: </w:t>
      </w:r>
      <w:r>
        <w:rPr>
          <w:rFonts w:ascii="Arial" w:cs="Arial" w:eastAsia="Arial" w:hAnsi="Arial"/>
          <w:sz w:val="24"/>
          <w:szCs w:val="24"/>
        </w:rPr>
        <w:t xml:space="preserve">ShiftOps Consulting is VAT registered. All prices quoted are fixed for the duration of the contract. The total cost is inclusive of all expenses including travel to Council premises for workshops, steering group meetings, and stakeholder engagement sessions. No additional costs will be incurred by the Council.</w:t>
      </w:r>
    </w:p>
    <w:p>
      <w:r>
        <w:br w:type="page"/>
      </w:r>
    </w:p>
    <w:p>
      <w:pPr>
        <w:spacing w:before="300" w:after="200" w:line="276"/>
      </w:pPr>
      <w:r>
        <w:rPr>
          <w:rFonts w:ascii="Arial" w:cs="Arial" w:eastAsia="Arial" w:hAnsi="Arial"/>
          <w:b/>
          <w:bCs/>
          <w:color w:val="1B4F72"/>
          <w:sz w:val="32"/>
          <w:szCs w:val="32"/>
        </w:rPr>
        <w:t xml:space="preserve">Schedule 4 – Quote Certificate</w:t>
      </w:r>
    </w:p>
    <w:p>
      <w:pPr>
        <w:spacing w:after="60"/>
      </w:pPr>
    </w:p>
    <w:p>
      <w:pPr>
        <w:spacing w:after="120" w:line="276"/>
      </w:pPr>
      <w:r>
        <w:rPr>
          <w:rFonts w:ascii="Arial" w:cs="Arial" w:eastAsia="Arial" w:hAnsi="Arial"/>
          <w:b/>
          <w:bCs/>
          <w:color w:val="1B4F72"/>
          <w:sz w:val="28"/>
          <w:szCs w:val="28"/>
        </w:rPr>
        <w:t xml:space="preserve">QUOTE FOR THE PROVISION OF OUT-OF-HOURS CONTACT REVIEW</w:t>
      </w:r>
    </w:p>
    <w:p>
      <w:pPr>
        <w:spacing w:after="60"/>
      </w:pPr>
    </w:p>
    <w:p>
      <w:pPr>
        <w:spacing w:after="120" w:line="276"/>
      </w:pPr>
      <w:r>
        <w:rPr>
          <w:rFonts w:ascii="Arial" w:cs="Arial" w:eastAsia="Arial" w:hAnsi="Arial"/>
          <w:b/>
          <w:bCs/>
          <w:sz w:val="24"/>
          <w:szCs w:val="24"/>
        </w:rPr>
        <w:t xml:space="preserve">CONTRACT PERIOD: </w:t>
      </w:r>
      <w:r>
        <w:rPr>
          <w:rFonts w:ascii="Arial" w:cs="Arial" w:eastAsia="Arial" w:hAnsi="Arial"/>
          <w:sz w:val="24"/>
          <w:szCs w:val="24"/>
        </w:rPr>
        <w:t xml:space="preserve">As agreed between the parties hereto</w:t>
      </w:r>
    </w:p>
    <w:p>
      <w:pPr>
        <w:spacing w:after="60"/>
      </w:pPr>
    </w:p>
    <w:p>
      <w:pPr>
        <w:spacing w:after="120" w:line="276"/>
      </w:pPr>
      <w:r>
        <w:rPr>
          <w:rFonts w:ascii="Arial" w:cs="Arial" w:eastAsia="Arial" w:hAnsi="Arial"/>
          <w:sz w:val="24"/>
          <w:szCs w:val="24"/>
        </w:rPr>
        <w:t xml:space="preserve">We,</w:t>
      </w:r>
    </w:p>
    <w:p>
      <w:pPr>
        <w:spacing w:after="60"/>
      </w:pPr>
    </w:p>
    <w:p>
      <w:pPr>
        <w:spacing w:after="120" w:line="276"/>
      </w:pPr>
      <w:r>
        <w:rPr>
          <w:rFonts w:ascii="Arial" w:cs="Arial" w:eastAsia="Arial" w:hAnsi="Arial"/>
          <w:b/>
          <w:bCs/>
          <w:sz w:val="24"/>
          <w:szCs w:val="24"/>
        </w:rPr>
        <w:t xml:space="preserve">ShiftOps Consulting</w:t>
      </w:r>
    </w:p>
    <w:p>
      <w:pPr>
        <w:spacing w:after="60"/>
      </w:pPr>
    </w:p>
    <w:p>
      <w:pPr>
        <w:spacing w:after="120" w:line="276"/>
      </w:pPr>
      <w:r>
        <w:rPr>
          <w:rFonts w:ascii="Arial" w:cs="Arial" w:eastAsia="Arial" w:hAnsi="Arial"/>
          <w:sz w:val="24"/>
          <w:szCs w:val="24"/>
        </w:rPr>
        <w:t xml:space="preserve">(carrying on business) as a consultancy</w:t>
      </w:r>
    </w:p>
    <w:p>
      <w:pPr>
        <w:spacing w:after="60"/>
      </w:pPr>
    </w:p>
    <w:p>
      <w:pPr>
        <w:spacing w:after="120" w:line="276"/>
      </w:pPr>
      <w:r>
        <w:rPr>
          <w:rFonts w:ascii="Arial" w:cs="Arial" w:eastAsia="Arial" w:hAnsi="Arial"/>
          <w:sz w:val="24"/>
          <w:szCs w:val="24"/>
        </w:rPr>
        <w:t xml:space="preserve">(whose registered office is) at:</w:t>
      </w:r>
    </w:p>
    <w:p>
      <w:pPr>
        <w:spacing w:after="120" w:line="276"/>
      </w:pPr>
      <w:r>
        <w:rPr>
          <w:rFonts w:ascii="Arial" w:cs="Arial" w:eastAsia="Arial" w:hAnsi="Arial"/>
          <w:sz w:val="24"/>
          <w:szCs w:val="24"/>
        </w:rPr>
        <w:t xml:space="preserve">[Address to be confirmed]</w:t>
      </w:r>
    </w:p>
    <w:p>
      <w:pPr>
        <w:spacing w:after="60"/>
      </w:pPr>
    </w:p>
    <w:p>
      <w:pPr>
        <w:spacing w:after="120" w:line="276"/>
      </w:pPr>
      <w:r>
        <w:rPr>
          <w:rFonts w:ascii="Arial" w:cs="Arial" w:eastAsia="Arial" w:hAnsi="Arial"/>
          <w:sz w:val="24"/>
          <w:szCs w:val="24"/>
        </w:rPr>
        <w:t xml:space="preserve">hereby offer to provide the Services described in the quote in accordance with the terms of the Quote at the rates, which we have indicated in the Proposal constituting this Quote.</w:t>
      </w:r>
    </w:p>
    <w:p>
      <w:pPr>
        <w:spacing w:after="60"/>
      </w:pPr>
    </w:p>
    <w:p>
      <w:pPr>
        <w:spacing w:after="120" w:line="276"/>
      </w:pPr>
      <w:r>
        <w:rPr>
          <w:rFonts w:ascii="Arial" w:cs="Arial" w:eastAsia="Arial" w:hAnsi="Arial"/>
          <w:sz w:val="24"/>
          <w:szCs w:val="24"/>
        </w:rPr>
        <w:t xml:space="preserve">We agree that the insertions by us of any conditions qualifying this Quote or any unauthorised alteration to any of the quote documents shall not affect the Agreement and may cause the Quote to be rejected.</w:t>
      </w:r>
    </w:p>
    <w:p>
      <w:pPr>
        <w:spacing w:after="60"/>
      </w:pPr>
    </w:p>
    <w:p>
      <w:pPr>
        <w:spacing w:after="120" w:line="276"/>
      </w:pPr>
      <w:r>
        <w:rPr>
          <w:rFonts w:ascii="Arial" w:cs="Arial" w:eastAsia="Arial" w:hAnsi="Arial"/>
          <w:sz w:val="24"/>
          <w:szCs w:val="24"/>
        </w:rPr>
        <w:t xml:space="preserve">We agree that this Quote is submitted on the basis that the offer herein contained shall remain in force without variation for a period of 180 days from receipt of this Quote.</w:t>
      </w:r>
    </w:p>
    <w:p>
      <w:pPr>
        <w:spacing w:after="60"/>
      </w:pPr>
    </w:p>
    <w:p>
      <w:pPr>
        <w:spacing w:after="120" w:line="276"/>
      </w:pPr>
      <w:r>
        <w:rPr>
          <w:rFonts w:ascii="Arial" w:cs="Arial" w:eastAsia="Arial" w:hAnsi="Arial"/>
          <w:sz w:val="24"/>
          <w:szCs w:val="24"/>
        </w:rPr>
        <w:t xml:space="preserve">If this Quote is accepted we will execute such documents in the form of the Contract within 14 days of being called on to do so.</w:t>
      </w:r>
    </w:p>
    <w:p>
      <w:pPr>
        <w:spacing w:after="60"/>
      </w:pPr>
    </w:p>
    <w:p>
      <w:pPr>
        <w:spacing w:after="120" w:line="276"/>
      </w:pPr>
      <w:r>
        <w:rPr>
          <w:rFonts w:ascii="Arial" w:cs="Arial" w:eastAsia="Arial" w:hAnsi="Arial"/>
          <w:sz w:val="24"/>
          <w:szCs w:val="24"/>
        </w:rPr>
        <w:t xml:space="preserve">We understand that the Council is not bound to accept the lowest or any quote they may receive nor to pay any expense incurred by us in connection with the preparation and submission of this Quote.</w:t>
      </w:r>
    </w:p>
    <w:p>
      <w:pPr>
        <w:spacing w:after="60"/>
      </w:pPr>
    </w:p>
    <w:p>
      <w:pPr>
        <w:spacing w:after="120" w:line="276"/>
      </w:pPr>
      <w:r>
        <w:rPr>
          <w:rFonts w:ascii="Arial" w:cs="Arial" w:eastAsia="Arial" w:hAnsi="Arial"/>
          <w:sz w:val="24"/>
          <w:szCs w:val="24"/>
        </w:rPr>
        <w:t xml:space="preserve">We declare that we are not a party to a cartel involving or including any commercial or other arrangement between individuals and/or corporations which is intended to or organised so as to share or control marketing arrangements or prices.</w:t>
      </w:r>
    </w:p>
    <w:p>
      <w:pPr>
        <w:spacing w:after="60"/>
      </w:pPr>
    </w:p>
    <w:p>
      <w:pPr>
        <w:spacing w:after="120" w:line="276"/>
      </w:pPr>
      <w:r>
        <w:rPr>
          <w:rFonts w:ascii="Arial" w:cs="Arial" w:eastAsia="Arial" w:hAnsi="Arial"/>
          <w:sz w:val="24"/>
          <w:szCs w:val="24"/>
        </w:rPr>
        <w:t xml:space="preserve">We declare that we have not offered to pay or give or agree to pay any sum of money or valuable consideration directly or indirectly to any person nor entered into any agreement or arrangement with any person that he/she shall refrain from quoting or as to the amount of any quote to be submitted.</w:t>
      </w:r>
    </w:p>
    <w:p>
      <w:pPr>
        <w:spacing w:after="60"/>
      </w:pPr>
    </w:p>
    <w:p>
      <w:pPr>
        <w:spacing w:after="120" w:line="276"/>
      </w:pPr>
      <w:r>
        <w:rPr>
          <w:rFonts w:ascii="Arial" w:cs="Arial" w:eastAsia="Arial" w:hAnsi="Arial"/>
          <w:sz w:val="24"/>
          <w:szCs w:val="24"/>
        </w:rPr>
        <w:t xml:space="preserve">We undertake not to disclose the amount of our Quote to any person or body before the date and time for the opening of the quotes except where the disclosure, in confidence, of the approximate amount of the quote is necessary to obtain insurance premium quotations required for the preparation of the quote.</w:t>
      </w:r>
    </w:p>
    <w:p>
      <w:pPr>
        <w:spacing w:after="60"/>
      </w:pPr>
    </w:p>
    <w:p>
      <w:pPr>
        <w:spacing w:after="120" w:line="276"/>
      </w:pPr>
      <w:r>
        <w:rPr>
          <w:rFonts w:ascii="Arial" w:cs="Arial" w:eastAsia="Arial" w:hAnsi="Arial"/>
          <w:sz w:val="24"/>
          <w:szCs w:val="24"/>
        </w:rPr>
        <w:t xml:space="preserve">We agree that we have satisfied ourselves before submitting this Quote as to the correctness and sufficiency of the rates quoted.</w:t>
      </w:r>
    </w:p>
    <w:p>
      <w:pPr>
        <w:spacing w:after="60"/>
      </w:pPr>
    </w:p>
    <w:p>
      <w:pPr>
        <w:spacing w:after="60"/>
      </w:pPr>
    </w:p>
    <w:p>
      <w:pPr>
        <w:spacing w:after="120" w:line="276"/>
      </w:pPr>
      <w:r>
        <w:rPr>
          <w:rFonts w:ascii="Arial" w:cs="Arial" w:eastAsia="Arial" w:hAnsi="Arial"/>
          <w:b/>
          <w:bCs/>
          <w:sz w:val="24"/>
          <w:szCs w:val="24"/>
        </w:rPr>
        <w:t xml:space="preserve">DATE: </w:t>
      </w:r>
      <w:r>
        <w:rPr>
          <w:rFonts w:ascii="Arial" w:cs="Arial" w:eastAsia="Arial" w:hAnsi="Arial"/>
          <w:sz w:val="24"/>
          <w:szCs w:val="24"/>
        </w:rPr>
        <w:t xml:space="preserve">3rd February 2026</w:t>
      </w:r>
    </w:p>
    <w:p>
      <w:pPr>
        <w:spacing w:after="60"/>
      </w:pPr>
    </w:p>
    <w:p>
      <w:pPr>
        <w:spacing w:after="60"/>
      </w:pPr>
    </w:p>
    <w:p>
      <w:pPr>
        <w:spacing w:after="120" w:line="276"/>
      </w:pPr>
      <w:r>
        <w:rPr>
          <w:rFonts w:ascii="Arial" w:cs="Arial" w:eastAsia="Arial" w:hAnsi="Arial"/>
          <w:b/>
          <w:bCs/>
          <w:sz w:val="24"/>
          <w:szCs w:val="24"/>
        </w:rPr>
        <w:t xml:space="preserve">Signature: </w:t>
      </w:r>
      <w:r>
        <w:rPr>
          <w:rFonts w:ascii="Arial" w:cs="Arial" w:eastAsia="Arial" w:hAnsi="Arial"/>
          <w:sz w:val="24"/>
          <w:szCs w:val="24"/>
        </w:rPr>
        <w:t xml:space="preserve">____________________________</w:t>
      </w:r>
    </w:p>
    <w:p>
      <w:pPr>
        <w:spacing w:after="60"/>
      </w:pPr>
    </w:p>
    <w:p>
      <w:pPr>
        <w:spacing w:after="120" w:line="276"/>
      </w:pPr>
      <w:r>
        <w:rPr>
          <w:rFonts w:ascii="Arial" w:cs="Arial" w:eastAsia="Arial" w:hAnsi="Arial"/>
          <w:b/>
          <w:bCs/>
          <w:sz w:val="24"/>
          <w:szCs w:val="24"/>
        </w:rPr>
        <w:t xml:space="preserve">Name: </w:t>
      </w:r>
      <w:r>
        <w:rPr>
          <w:rFonts w:ascii="Arial" w:cs="Arial" w:eastAsia="Arial" w:hAnsi="Arial"/>
          <w:sz w:val="24"/>
          <w:szCs w:val="24"/>
        </w:rPr>
        <w:t xml:space="preserve">Adam Copeland</w:t>
      </w:r>
    </w:p>
    <w:p>
      <w:pPr>
        <w:spacing w:after="60"/>
      </w:pPr>
    </w:p>
    <w:p>
      <w:pPr>
        <w:spacing w:after="120" w:line="276"/>
      </w:pPr>
      <w:r>
        <w:rPr>
          <w:rFonts w:ascii="Arial" w:cs="Arial" w:eastAsia="Arial" w:hAnsi="Arial"/>
          <w:b/>
          <w:bCs/>
          <w:sz w:val="24"/>
          <w:szCs w:val="24"/>
        </w:rPr>
        <w:t xml:space="preserve">Position: </w:t>
      </w:r>
      <w:r>
        <w:rPr>
          <w:rFonts w:ascii="Arial" w:cs="Arial" w:eastAsia="Arial" w:hAnsi="Arial"/>
          <w:sz w:val="24"/>
          <w:szCs w:val="24"/>
        </w:rPr>
        <w:t xml:space="preserve">Founder &amp; Lead Consultant</w:t>
      </w:r>
    </w:p>
    <w:p>
      <w:pPr>
        <w:spacing w:after="60"/>
      </w:pPr>
    </w:p>
    <w:p>
      <w:pPr>
        <w:spacing w:after="120" w:line="276"/>
      </w:pPr>
      <w:r>
        <w:rPr>
          <w:rFonts w:ascii="Arial" w:cs="Arial" w:eastAsia="Arial" w:hAnsi="Arial"/>
          <w:b/>
          <w:bCs/>
          <w:sz w:val="24"/>
          <w:szCs w:val="24"/>
        </w:rPr>
        <w:t xml:space="preserve">For and on behalf of: </w:t>
      </w:r>
      <w:r>
        <w:rPr>
          <w:rFonts w:ascii="Arial" w:cs="Arial" w:eastAsia="Arial" w:hAnsi="Arial"/>
          <w:sz w:val="24"/>
          <w:szCs w:val="24"/>
        </w:rPr>
        <w:t xml:space="preserve">ShiftOps Consulting</w:t>
      </w:r>
    </w:p>
    <w:p>
      <w:pPr>
        <w:spacing w:after="60"/>
      </w:pPr>
    </w:p>
    <w:sectPr>
      <w:headerReference w:type="default" r:id="rId6"/>
      <w:footerReference w:type="default" r:id="rId7"/>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ShiftOps Consulting – RFQ Response: Out-of-Hours Contact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2026-02-02T17:43:39.400Z</dcterms:created>
  <dcterms:modified xsi:type="dcterms:W3CDTF">2026-02-02T17:43:39.401Z</dcterms:modified>
</cp:coreProperties>
</file>

<file path=docProps/custom.xml><?xml version="1.0" encoding="utf-8"?>
<Properties xmlns="http://schemas.openxmlformats.org/officeDocument/2006/custom-properties" xmlns:vt="http://schemas.openxmlformats.org/officeDocument/2006/docPropsVTypes"/>
</file>