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PRIVATE AND CONFIDENTIAL — SUBJECT TO CONTRACT</w:t>
      </w:r>
    </w:p>
    <w:p>
      <w:r>
        <w:t xml:space="preserve"/>
      </w:r>
    </w:p>
    <w:p>
      <w:r>
        <w:t xml:space="preserve">Macinnes Tooling</w:t>
      </w:r>
    </w:p>
    <w:p>
      <w:r>
        <w:t xml:space="preserve">127 Ribbans Park Road</w:t>
      </w:r>
    </w:p>
    <w:p>
      <w:r>
        <w:t xml:space="preserve"/>
      </w:r>
    </w:p>
    <w:p>
      <w:r>
        <w:t xml:space="preserve">26 March 2026</w:t>
      </w:r>
    </w:p>
    <w:p>
      <w:r>
        <w:t xml:space="preserve"/>
      </w:r>
    </w:p>
    <w:p>
      <w:r>
        <w:rPr>
          <w:b/>
        </w:rPr>
        <w:t xml:space="preserve">HEADS OF TERMS — PROPOSED ACQUISITION OF </w:t>
        <w:t xml:space="preserve">Macinnes Tooling</w:t>
        <w:t xml:space="preserve"> (</w:t>
        <w:t xml:space="preserve">Share Sale</w:t>
        <w:t xml:space="preserve">)</w:t>
      </w:r>
    </w:p>
    <w:p>
      <w:r>
        <w:t xml:space="preserve"/>
      </w:r>
    </w:p>
    <w:p>
      <w:r>
        <w:t xml:space="preserve">Dear </w:t>
        <w:t xml:space="preserve"/>
        <w:t xml:space="preserve">,</w:t>
      </w:r>
    </w:p>
    <w:p>
      <w:r>
        <w:t xml:space="preserve"/>
      </w:r>
    </w:p>
    <w:p>
      <w:r>
        <w:t xml:space="preserve">Further to our recent discussions, this letter sets out the principal terms upon which </w:t>
        <w:t xml:space="preserve">Shiftops Consulting Ltd</w:t>
        <w:t xml:space="preserve"> (the Buyer) is willing to acquire </w:t>
        <w:t xml:space="preserve">100% of the share capital</w:t>
        <w:t xml:space="preserve"> of </w:t>
        <w:t xml:space="preserve">Macinnes Tooling</w:t>
        <w:t xml:space="preserve"> (the Company). Save where expressly stated to be binding, this letter is non-binding and subject to contract.</w:t>
      </w:r>
    </w:p>
    <w:p>
      <w:r>
        <w:t xml:space="preserve"/>
      </w:r>
    </w:p>
    <w:p>
      <w:r>
        <w:rPr>
          <w:b/>
        </w:rPr>
        <w:t xml:space="preserve">1. PARTIES AND TRANSACTION OVERVIEW (Non-Binding)</w:t>
      </w:r>
    </w:p>
    <w:p>
      <w:r>
        <w:t xml:space="preserve"/>
      </w:r>
    </w:p>
    <w:p>
      <w:r>
        <w:t xml:space="preserve">Buyer: </w:t>
        <w:t xml:space="preserve">Shiftops Consulting Ltd</w:t>
      </w:r>
    </w:p>
    <w:p>
      <w:r>
        <w:t xml:space="preserve">Seller: </w:t>
        <w:t xml:space="preserve"/>
        <w:t xml:space="preserve">, </w:t>
        <w:t xml:space="preserve">Macinnes Tooling</w:t>
      </w:r>
    </w:p>
    <w:p>
      <w:r>
        <w:t xml:space="preserve">Transaction: Proposed </w:t>
        <w:t xml:space="preserve">Share Sale</w:t>
        <w:t xml:space="preserve"> of </w:t>
        <w:t xml:space="preserve">Macinnes Tooling</w:t>
      </w:r>
    </w:p>
    <w:p>
      <w:r>
        <w:t xml:space="preserve"/>
      </w:r>
    </w:p>
    <w:p>
      <w:r>
        <w:rPr>
          <w:b/>
        </w:rPr>
        <w:t xml:space="preserve">2. PRICE AND CONSIDERATION (Non-Binding)</w:t>
      </w:r>
    </w:p>
    <w:p>
      <w:r>
        <w:t xml:space="preserve"/>
      </w:r>
    </w:p>
    <w:p>
      <w:r>
        <w:t xml:space="preserve">The total consideration for the acquisition is </w:t>
        <w:t xml:space="preserve">£398,464</w:t>
        <w:t xml:space="preserve"> (the Price), structured as follows:</w:t>
      </w:r>
    </w:p>
    <w:p>
      <w:r>
        <w:t xml:space="preserve"/>
      </w:r>
    </w:p>
    <w:p>
      <w:r>
        <w:t xml:space="preserve">
          Payment due to the seller at closing: £328,741
          <w:br/>
          <w:br/>
          Deferred consideration: £69,723
          <w:br/>
          Payable at: £1,162 per month over 60 months
        </w:t>
      </w:r>
    </w:p>
    <w:p>
      <w:r>
        <w:t xml:space="preserve"/>
      </w:r>
    </w:p>
    <w:p>
      <w:r>
        <w:t xml:space="preserve">2.1 Cash at Completion: </w:t>
        <w:t xml:space="preserve">£328,741</w:t>
        <w:t xml:space="preserve"> payable to the Seller on the Completion Date.</w:t>
      </w:r>
    </w:p>
    <w:p>
      <w:r>
        <w:t xml:space="preserve"/>
      </w:r>
    </w:p>
    <w:p>
      <w:r>
        <w:t xml:space="preserve">2.2 Deferred Consideration: </w:t>
        <w:t xml:space="preserve">£69,723</w:t>
        <w:t xml:space="preserve">£1,162 per month over 60 months</w:t>
      </w:r>
    </w:p>
    <w:p>
      <w:r>
        <w:t xml:space="preserve"/>
      </w:r>
    </w:p>
    <w:p>
      <w:r>
        <w:t xml:space="preserve">2.3 Earnout: </w:t>
        <w:t xml:space="preserve"/>
        <w:t xml:space="preserve"/>
        <w:t xml:space="preserve">0</w:t>
      </w:r>
    </w:p>
    <w:p>
      <w:r>
        <w:t xml:space="preserve"/>
      </w:r>
    </w:p>
    <w:p>
      <w:r>
        <w:rPr>
          <w:b/>
        </w:rPr>
        <w:t xml:space="preserve">3. PRICE ASSUMPTIONS (Non-Binding)</w:t>
      </w:r>
    </w:p>
    <w:p>
      <w:r>
        <w:t xml:space="preserve"/>
      </w:r>
    </w:p>
    <w:p>
      <w:r>
        <w:t xml:space="preserve">The Price is calculated on the following basis:</w:t>
      </w:r>
    </w:p>
    <w:p>
      <w:r>
        <w:t xml:space="preserve"/>
      </w:r>
    </w:p>
    <w:p>
      <w:r>
        <w:t xml:space="preserve">
          Enterprise Value (Adjusted EBITDA × 2.75 multiple): £906,464
          <w:br/>
          Plus Excess Cash: £384,000
          <w:br/>
          Less Primary Debt: (£508,000)
          <w:br/>
          Less Working Capital Adjustment: (£384,000)
          <w:br/>
          <w:br/>
          Total Offer Price: £398,464
        </w:t>
      </w:r>
    </w:p>
    <w:p>
      <w:r>
        <w:t xml:space="preserve"/>
      </w:r>
    </w:p>
    <w:p>
      <w:r>
        <w:t xml:space="preserve">The Price is on a cash-free, debt-free basis, subject to a normalised level of working capital. Final Price will be adjusted through a completion accounts mechanism to reflect the actual cash, debt, and working capital position at the Completion Date.</w:t>
      </w:r>
    </w:p>
    <w:p>
      <w:r>
        <w:t xml:space="preserve"/>
      </w:r>
    </w:p>
    <w:p>
      <w:r>
        <w:rPr>
          <w:b/>
        </w:rPr>
        <w:t xml:space="preserve">4. CONDITIONS PRECEDENT (Non-Binding)</w:t>
      </w:r>
    </w:p>
    <w:p>
      <w:r>
        <w:t xml:space="preserve"/>
      </w:r>
    </w:p>
    <w:p>
      <w:r>
        <w:t xml:space="preserve">The Proposed Acquisition is conditional upon:</w:t>
      </w:r>
    </w:p>
    <w:p>
      <w:r>
        <w:t xml:space="preserve">(a) Satisfactory completion of legal and financial due diligence by the Buyer;</w:t>
      </w:r>
    </w:p>
    <w:p>
      <w:r>
        <w:t xml:space="preserve">(b) Agreement and execution of a formal Sale and Purchase Agreement;</w:t>
      </w:r>
    </w:p>
    <w:p>
      <w:r>
        <w:t xml:space="preserve">(c) Confirmation of funding arrangements satisfactory to the Buyer;</w:t>
      </w:r>
    </w:p>
    <w:p>
      <w:r>
        <w:t xml:space="preserve">(d) No material adverse change in the business, assets, or financial position of the Company prior to Completion.</w:t>
      </w:r>
    </w:p>
    <w:p>
      <w:r>
        <w:t xml:space="preserve"/>
      </w:r>
    </w:p>
    <w:p>
      <w:r>
        <w:t xml:space="preserve"/>
      </w:r>
    </w:p>
    <w:p>
      <w:r>
        <w:t xml:space="preserve"/>
      </w:r>
    </w:p>
    <w:p>
      <w:r>
        <w:rPr>
          <w:b/>
        </w:rPr>
        <w:t xml:space="preserve">5. DUE DILIGENCE (Non-Binding)</w:t>
      </w:r>
    </w:p>
    <w:p>
      <w:r>
        <w:t xml:space="preserve"/>
      </w:r>
    </w:p>
    <w:p>
      <w:r>
        <w:t xml:space="preserve">The Buyer will conduct legal, financial, tax, and commercial due diligence on the Company. The Seller agrees to provide, and procure that the Company provides, all reasonable access to information, personnel, and records as requested. Due diligence will be conducted on a confidential basis and subject to the NDA previously agreed between the parties.</w:t>
      </w:r>
    </w:p>
    <w:p>
      <w:r>
        <w:t xml:space="preserve"/>
      </w:r>
    </w:p>
    <w:p>
      <w:r>
        <w:rPr>
          <w:b/>
        </w:rPr>
        <w:t xml:space="preserve">6. TIMETABLE (Non-Binding)</w:t>
      </w:r>
    </w:p>
    <w:p>
      <w:r>
        <w:t xml:space="preserve"/>
      </w:r>
    </w:p>
    <w:p>
      <w:r>
        <w:t xml:space="preserve">The parties will use reasonable endeavours to achieve completion of the Proposed Acquisition within </w:t>
        <w:t xml:space="preserve">12</w:t>
        <w:t xml:space="preserve"> weeks of the date of this letter, subject to satisfactory completion of due diligence and agreement of the Sale and Purchase Agreement.</w:t>
      </w:r>
    </w:p>
    <w:p>
      <w:r>
        <w:t xml:space="preserve"/>
      </w:r>
    </w:p>
    <w:p>
      <w:r>
        <w:rPr>
          <w:b/>
        </w:rPr>
        <w:t xml:space="preserve">7. EXCLUSIVITY (Binding)</w:t>
      </w:r>
    </w:p>
    <w:p>
      <w:r>
        <w:t xml:space="preserve"/>
      </w:r>
    </w:p>
    <w:p>
      <w:r>
        <w:t xml:space="preserve">In consideration of the Buyer incurring costs in connection with the Proposed Acquisition, the Seller undertakes that for a period of </w:t>
        <w:t xml:space="preserve">90</w:t>
        <w:t xml:space="preserve"> days from the date of this letter (the Exclusivity Period) the Seller shall not, and shall procure that neither the Company nor any agent acting on its behalf shall:</w:t>
      </w:r>
    </w:p>
    <w:p>
      <w:r>
        <w:t xml:space="preserve">(a) solicit, encourage, or entertain any approach from any third party relating to the sale or disposal of the Company or its business or assets;</w:t>
      </w:r>
    </w:p>
    <w:p>
      <w:r>
        <w:t xml:space="preserve">(b) enter into any negotiations or discussions with any third party in relation to such a transaction; or</w:t>
      </w:r>
    </w:p>
    <w:p>
      <w:r>
        <w:t xml:space="preserve">(c) provide any information to any third party in connection with any such transaction.</w:t>
      </w:r>
    </w:p>
    <w:p>
      <w:r>
        <w:t xml:space="preserve"/>
      </w:r>
    </w:p>
    <w:p>
      <w:r>
        <w:t xml:space="preserve">This clause 7 is binding on the parties.</w:t>
      </w:r>
    </w:p>
    <w:p>
      <w:r>
        <w:t xml:space="preserve"/>
      </w:r>
    </w:p>
    <w:p>
      <w:r>
        <w:rPr>
          <w:b/>
        </w:rPr>
        <w:t xml:space="preserve">8. NON-COMPETE AND NON-SOLICITATION (Non-Binding)</w:t>
      </w:r>
    </w:p>
    <w:p>
      <w:r>
        <w:t xml:space="preserve"/>
      </w:r>
    </w:p>
    <w:p>
      <w:r>
        <w:t xml:space="preserve">It is intended that the Sale and Purchase Agreement will include undertakings by the Seller that for a period of </w:t>
        <w:t xml:space="preserve">2</w:t>
        <w:t xml:space="preserve"> years following Completion, the Seller will not:</w:t>
      </w:r>
    </w:p>
    <w:p>
      <w:r>
        <w:t xml:space="preserve">(a) carry on or be engaged or interested in any business which competes with the business of the Company as at Completion;</w:t>
      </w:r>
    </w:p>
    <w:p>
      <w:r>
        <w:t xml:space="preserve">(b) solicit or entice away any employee, customer, or supplier of the Company for a period of </w:t>
        <w:t xml:space="preserve">2</w:t>
        <w:t xml:space="preserve"> years following Completion.</w:t>
      </w:r>
    </w:p>
    <w:p>
      <w:r>
        <w:t xml:space="preserve"/>
      </w:r>
    </w:p>
    <w:p>
      <w:r>
        <w:rPr>
          <w:b/>
        </w:rPr>
        <w:t xml:space="preserve">9. WARRANTIES AND INDEMNITIES (Non-Binding)</w:t>
      </w:r>
    </w:p>
    <w:p>
      <w:r>
        <w:t xml:space="preserve"/>
      </w:r>
    </w:p>
    <w:p>
      <w:r>
        <w:t xml:space="preserve">The Sale and Purchase Agreement will include customary warranties from the Seller regarding the Company. It is intended that:</w:t>
      </w:r>
    </w:p>
    <w:p>
      <w:r>
        <w:t xml:space="preserve">(a) Warranty claims must be notified within </w:t>
        <w:t xml:space="preserve">18</w:t>
        <w:t xml:space="preserve"> months of Completion;</w:t>
      </w:r>
    </w:p>
    <w:p>
      <w:r>
        <w:t xml:space="preserve">(b) The minimum individual claim threshold is </w:t>
        <w:t xml:space="preserve">£5,000</w:t>
        <w:t xml:space="preserve">;</w:t>
      </w:r>
    </w:p>
    <w:p>
      <w:r>
        <w:t xml:space="preserve">(c) The aggregate warranty cap will be agreed during the SPA negotiation.</w:t>
      </w:r>
    </w:p>
    <w:p>
      <w:r>
        <w:t xml:space="preserve"/>
      </w:r>
    </w:p>
    <w:p>
      <w:r>
        <w:rPr>
          <w:b/>
        </w:rPr>
        <w:t xml:space="preserve">10. SALE AND PURCHASE AGREEMENT (Non-Binding)</w:t>
      </w:r>
    </w:p>
    <w:p>
      <w:r>
        <w:t xml:space="preserve"/>
      </w:r>
    </w:p>
    <w:p>
      <w:r>
        <w:t xml:space="preserve">The Proposed Acquisition will be documented by a formal Sale and Purchase Agreement to be prepared by the Buyer's solicitors. The SPA will be in a form customary for a transaction of this nature and will reflect the terms set out in this letter together with such other terms as are agreed between the parties during due diligence and negotiation.</w:t>
      </w:r>
    </w:p>
    <w:p>
      <w:r>
        <w:t xml:space="preserve"/>
      </w:r>
    </w:p>
    <w:p>
      <w:r>
        <w:rPr>
          <w:b/>
        </w:rPr>
        <w:t xml:space="preserve">11. EMPLOYEES (Non-Binding)</w:t>
      </w:r>
    </w:p>
    <w:p>
      <w:r>
        <w:t xml:space="preserve"/>
      </w:r>
    </w:p>
    <w:p>
      <w:r>
        <w:t xml:space="preserve">The Buyer intends to retain all existing employees of the Company following Completion. The transaction will be subject to applicable employment legislation including TUPE where relevant. Key management arrangements will be discussed and agreed during the due diligence period.</w:t>
      </w:r>
    </w:p>
    <w:p>
      <w:r>
        <w:t xml:space="preserve"/>
      </w:r>
    </w:p>
    <w:p>
      <w:r>
        <w:rPr>
          <w:b/>
        </w:rPr>
        <w:t xml:space="preserve">12. COSTS (Binding)</w:t>
      </w:r>
    </w:p>
    <w:p>
      <w:r>
        <w:t xml:space="preserve"/>
      </w:r>
    </w:p>
    <w:p>
      <w:r>
        <w:t xml:space="preserve">Each party shall bear their own legal and professional costs incurred in connection with the Proposed Acquisition, whether or not the transaction proceeds to Completion. This clause 12 is binding on the parties.</w:t>
      </w:r>
    </w:p>
    <w:p>
      <w:r>
        <w:t xml:space="preserve"/>
      </w:r>
    </w:p>
    <w:p>
      <w:r>
        <w:rPr>
          <w:b/>
        </w:rPr>
        <w:t xml:space="preserve">13. ANNOUNCEMENTS (Binding)</w:t>
      </w:r>
    </w:p>
    <w:p>
      <w:r>
        <w:t xml:space="preserve"/>
      </w:r>
    </w:p>
    <w:p>
      <w:r>
        <w:t xml:space="preserve">Neither party shall make any public announcement or disclosure in connection with the Proposed Acquisition without the prior written consent of the other party, save as required by law or regulation. This clause 13 is binding on the parties.</w:t>
      </w:r>
    </w:p>
    <w:p>
      <w:r>
        <w:t xml:space="preserve"/>
      </w:r>
    </w:p>
    <w:p>
      <w:r>
        <w:rPr>
          <w:b/>
        </w:rPr>
        <w:t xml:space="preserve">14. GOVERNING LAW (Binding)</w:t>
      </w:r>
    </w:p>
    <w:p>
      <w:r>
        <w:t xml:space="preserve"/>
      </w:r>
    </w:p>
    <w:p>
      <w:r>
        <w:t xml:space="preserve">This letter and any non-contractual obligations arising from or in connection with it shall be governed by and construed in accordance with the laws of England and Wales. The parties submit to the exclusive jurisdiction of the courts of England and Wales. This clause 14 is binding on the parties.</w:t>
      </w:r>
    </w:p>
    <w:p>
      <w:r>
        <w:t xml:space="preserve"/>
      </w:r>
    </w:p>
    <w:p>
      <w:r>
        <w:t xml:space="preserve">Please confirm your agreement to the above terms by signing and returning a copy of this letter.</w:t>
      </w:r>
    </w:p>
    <w:p>
      <w:r>
        <w:t xml:space="preserve"/>
      </w:r>
    </w:p>
    <w:p>
      <w:r>
        <w:t xml:space="preserve">Yours sincerely,</w:t>
      </w:r>
    </w:p>
    <w:p>
      <w:r>
        <w:t xml:space="preserve"/>
      </w:r>
    </w:p>
    <w:p>
      <w:r>
        <w:t xml:space="preserve">Adam ShiftOps</w:t>
      </w:r>
    </w:p>
    <w:p>
      <w:r>
        <w:t xml:space="preserve">Director</w:t>
      </w:r>
    </w:p>
    <w:p>
      <w:r>
        <w:t xml:space="preserve">Shiftops Consulting Ltd</w:t>
      </w:r>
    </w:p>
    <w:p>
      <w:r>
        <w:t xml:space="preserve"/>
      </w:r>
    </w:p>
    <w:p>
      <w:r>
        <w:t xml:space="preserve">Agreed and accepted on behalf of </w:t>
        <w:t xml:space="preserve">Macinnes Tooling</w:t>
        <w:t xml:space="preserve">:</w:t>
      </w:r>
    </w:p>
    <w:p>
      <w:r>
        <w:t xml:space="preserve"/>
      </w:r>
    </w:p>
    <w:p>
      <w:r>
        <w:t xml:space="preserve">Signed: ___________________________</w:t>
      </w:r>
    </w:p>
    <w:p>
      <w:r>
        <w:t xml:space="preserve">Name: ___________________________</w:t>
      </w:r>
    </w:p>
    <w:p>
      <w:r>
        <w:t xml:space="preserve">Date: ___________________________</w:t>
      </w:r>
    </w:p>
    <w:p>
      <w:r>
        <w:t xml:space="preserve"/>
      </w:r>
    </w:p>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50"/>
      </w:tabs>
      <w:spacing w:after="0" w:before="0" w:line="30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Confidential</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51" w:hanging="851"/>
      </w:pPr>
      <w:rPr>
        <w:rFonts w:ascii="Arial" w:cs="Arial" w:eastAsia="Arial" w:hAnsi="Arial"/>
        <w:smallCaps w:val="0"/>
        <w:strike w:val="0"/>
        <w:color w:val="000000"/>
        <w:sz w:val="20"/>
        <w:szCs w:val="20"/>
        <w:u w:val="none"/>
        <w:vertAlign w:val="baseline"/>
      </w:rPr>
    </w:lvl>
    <w:lvl w:ilvl="1">
      <w:start w:val="1"/>
      <w:numFmt w:val="decimal"/>
      <w:lvlText w:val="%1.%2"/>
      <w:lvlJc w:val="left"/>
      <w:pPr>
        <w:ind w:left="851" w:hanging="851"/>
      </w:pPr>
      <w:rPr>
        <w:rFonts w:ascii="Arial" w:cs="Arial" w:eastAsia="Arial" w:hAnsi="Arial"/>
        <w:smallCaps w:val="0"/>
        <w:strike w:val="0"/>
        <w:color w:val="000000"/>
        <w:sz w:val="20"/>
        <w:szCs w:val="20"/>
        <w:u w:val="none"/>
        <w:vertAlign w:val="baseline"/>
      </w:rPr>
    </w:lvl>
    <w:lvl w:ilvl="2">
      <w:start w:val="1"/>
      <w:numFmt w:val="decimal"/>
      <w:lvlText w:val="%1.%2.%3"/>
      <w:lvlJc w:val="left"/>
      <w:pPr>
        <w:ind w:left="1701" w:hanging="850"/>
      </w:pPr>
      <w:rPr>
        <w:rFonts w:ascii="Arial" w:cs="Arial" w:eastAsia="Arial" w:hAnsi="Arial"/>
        <w:b w:val="0"/>
        <w:i w:val="0"/>
        <w:color w:val="000000"/>
        <w:sz w:val="20"/>
        <w:szCs w:val="20"/>
        <w:u w:val="none"/>
      </w:rPr>
    </w:lvl>
    <w:lvl w:ilvl="3">
      <w:start w:val="1"/>
      <w:numFmt w:val="lowerLetter"/>
      <w:lvlText w:val="(%4)"/>
      <w:lvlJc w:val="left"/>
      <w:pPr>
        <w:ind w:left="2552" w:hanging="851"/>
      </w:pPr>
      <w:rPr>
        <w:rFonts w:ascii="Arial" w:cs="Arial" w:eastAsia="Arial" w:hAnsi="Arial"/>
        <w:b w:val="0"/>
        <w:i w:val="0"/>
        <w:smallCaps w:val="0"/>
        <w:strike w:val="0"/>
        <w:color w:val="000000"/>
        <w:sz w:val="20"/>
        <w:szCs w:val="20"/>
        <w:u w:val="none"/>
        <w:vertAlign w:val="baseline"/>
      </w:rPr>
    </w:lvl>
    <w:lvl w:ilvl="4">
      <w:start w:val="1"/>
      <w:numFmt w:val="lowerRoman"/>
      <w:lvlText w:val="(%5)"/>
      <w:lvlJc w:val="left"/>
      <w:pPr>
        <w:ind w:left="3402" w:hanging="850"/>
      </w:pPr>
      <w:rPr>
        <w:rFonts w:ascii="Arial" w:cs="Arial" w:eastAsia="Arial" w:hAnsi="Arial"/>
        <w:b w:val="0"/>
        <w:i w:val="0"/>
        <w:color w:val="000000"/>
        <w:sz w:val="20"/>
        <w:szCs w:val="20"/>
        <w:u w:val="none"/>
      </w:rPr>
    </w:lvl>
    <w:lvl w:ilvl="5">
      <w:start w:val="1"/>
      <w:numFmt w:val="upperLetter"/>
      <w:lvlText w:val="(%6)"/>
      <w:lvlJc w:val="left"/>
      <w:pPr>
        <w:ind w:left="4253" w:hanging="850.9999999999995"/>
      </w:pPr>
      <w:rPr>
        <w:rFonts w:ascii="Arial" w:cs="Arial" w:eastAsia="Arial" w:hAnsi="Arial"/>
        <w:b w:val="0"/>
        <w:i w:val="0"/>
        <w:color w:val="000000"/>
        <w:sz w:val="20"/>
        <w:szCs w:val="20"/>
        <w:u w:val="none"/>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
      <w:lvlJc w:val="left"/>
      <w:pPr>
        <w:ind w:left="0" w:firstLine="0"/>
      </w:pPr>
      <w:rPr/>
    </w:lvl>
    <w:lvl w:ilvl="1">
      <w:start w:val="1"/>
      <w:numFmt w:val="decimal"/>
      <w:lvlText w:val=""/>
      <w:lvlJc w:val="left"/>
      <w:pPr>
        <w:ind w:left="851" w:firstLine="0"/>
      </w:pPr>
      <w:rPr/>
    </w:lvl>
    <w:lvl w:ilvl="2">
      <w:start w:val="1"/>
      <w:numFmt w:val="decimal"/>
      <w:lvlText w:val=""/>
      <w:lvlJc w:val="left"/>
      <w:pPr>
        <w:ind w:left="1701" w:firstLine="0"/>
      </w:pPr>
      <w:rPr/>
    </w:lvl>
    <w:lvl w:ilvl="3">
      <w:start w:val="1"/>
      <w:numFmt w:val="decimal"/>
      <w:lvlText w:val=""/>
      <w:lvlJc w:val="left"/>
      <w:pPr>
        <w:ind w:left="2552" w:firstLine="0"/>
      </w:pPr>
      <w:rPr/>
    </w:lvl>
    <w:lvl w:ilvl="4">
      <w:start w:val="1"/>
      <w:numFmt w:val="decimal"/>
      <w:lvlText w:val=""/>
      <w:lvlJc w:val="left"/>
      <w:pPr>
        <w:ind w:left="3402" w:firstLine="0"/>
      </w:pPr>
      <w:rPr/>
    </w:lvl>
    <w:lvl w:ilvl="5">
      <w:start w:val="1"/>
      <w:numFmt w:val="decimal"/>
      <w:lvlText w:val=""/>
      <w:lvlJc w:val="left"/>
      <w:pPr>
        <w:ind w:left="4253" w:firstLine="0"/>
      </w:pPr>
      <w:rPr/>
    </w:lvl>
    <w:lvl w:ilvl="6">
      <w:start w:val="1"/>
      <w:numFmt w:val="decimal"/>
      <w:lvlText w:val=""/>
      <w:lvlJc w:val="left"/>
      <w:pPr>
        <w:ind w:left="2608" w:firstLine="0"/>
      </w:pPr>
      <w:rPr/>
    </w:lvl>
    <w:lvl w:ilvl="7">
      <w:start w:val="1"/>
      <w:numFmt w:val="decimal"/>
      <w:lvlText w:val=""/>
      <w:lvlJc w:val="left"/>
      <w:pPr>
        <w:ind w:left="3062" w:firstLine="0"/>
      </w:pPr>
      <w:rPr/>
    </w:lvl>
    <w:lvl w:ilvl="8">
      <w:start w:val="1"/>
      <w:numFmt w:val="decimal"/>
      <w:lvlText w:val=""/>
      <w:lvlJc w:val="left"/>
      <w:pPr>
        <w:ind w:left="3515" w:firstLine="0"/>
      </w:pPr>
      <w:rPr/>
    </w:lvl>
  </w:abstractNum>
  <w:abstractNum w:abstractNumId="3">
    <w:lvl w:ilvl="0">
      <w:start w:val="1"/>
      <w:numFmt w:val="decimal"/>
      <w:lvlText w:val=""/>
      <w:lvlJc w:val="left"/>
      <w:pPr>
        <w:ind w:left="0" w:firstLine="0"/>
      </w:pPr>
      <w:rPr/>
    </w:lvl>
    <w:lvl w:ilvl="1">
      <w:start w:val="1"/>
      <w:numFmt w:val="decimal"/>
      <w:lvlText w:val="(%2)"/>
      <w:lvlJc w:val="left"/>
      <w:pPr>
        <w:ind w:left="851" w:hanging="851"/>
      </w:pPr>
      <w:rPr/>
    </w:lvl>
    <w:lvl w:ilvl="2">
      <w:start w:val="1"/>
      <w:numFmt w:val="decimal"/>
      <w:lvlText w:val="(%2.%3)"/>
      <w:lvlJc w:val="left"/>
      <w:pPr>
        <w:ind w:left="1701" w:hanging="850"/>
      </w:pPr>
      <w:rPr/>
    </w:lvl>
    <w:lvl w:ilvl="3">
      <w:start w:val="1"/>
      <w:numFmt w:val="upperLetter"/>
      <w:lvlText w:val="(%4)"/>
      <w:lvlJc w:val="left"/>
      <w:pPr>
        <w:ind w:left="851" w:hanging="851"/>
      </w:pPr>
      <w:rPr/>
    </w:lvl>
    <w:lvl w:ilvl="4">
      <w:start w:val="1"/>
      <w:numFmt w:val="decimal"/>
      <w:lvlText w:val="(%4.%5)"/>
      <w:lvlJc w:val="left"/>
      <w:pPr>
        <w:ind w:left="1701" w:hanging="850"/>
      </w:pPr>
      <w:rPr/>
    </w:lvl>
    <w:lvl w:ilvl="5">
      <w:start w:val="1"/>
      <w:numFmt w:val="decimal"/>
      <w:lvlText w:val=""/>
      <w:lvlJc w:val="left"/>
      <w:pPr>
        <w:ind w:left="1247" w:firstLine="0"/>
      </w:pPr>
      <w:rPr/>
    </w:lvl>
    <w:lvl w:ilvl="6">
      <w:start w:val="1"/>
      <w:numFmt w:val="decimal"/>
      <w:lvlText w:val=""/>
      <w:lvlJc w:val="left"/>
      <w:pPr>
        <w:ind w:left="1247" w:firstLine="0"/>
      </w:pPr>
      <w:rPr/>
    </w:lvl>
    <w:lvl w:ilvl="7">
      <w:start w:val="1"/>
      <w:numFmt w:val="decimal"/>
      <w:lvlText w:val=""/>
      <w:lvlJc w:val="left"/>
      <w:pPr>
        <w:ind w:left="1247" w:firstLine="0"/>
      </w:pPr>
      <w:rPr/>
    </w:lvl>
    <w:lvl w:ilvl="8">
      <w:start w:val="1"/>
      <w:numFmt w:val="decimal"/>
      <w:lvlText w:val=""/>
      <w:lvlJc w:val="left"/>
      <w:pPr>
        <w:ind w:left="1247"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40" w:line="3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rFonts w:ascii="Arial Bold" w:cs="Arial Bold" w:eastAsia="Arial Bold" w:hAnsi="Arial Bold"/>
      <w:b w:val="1"/>
      <w:smallCaps w:val="1"/>
    </w:rPr>
  </w:style>
  <w:style w:type="paragraph" w:styleId="Heading2">
    <w:name w:val="heading 2"/>
    <w:basedOn w:val="Normal"/>
    <w:next w:val="Normal"/>
    <w:pPr>
      <w:keepNext w:val="1"/>
      <w:keepLines w:val="1"/>
      <w:jc w:val="center"/>
    </w:pPr>
    <w:rPr>
      <w:smallCaps w:val="1"/>
    </w:rPr>
  </w:style>
  <w:style w:type="paragraph" w:styleId="Heading3">
    <w:name w:val="heading 3"/>
    <w:basedOn w:val="Normal"/>
    <w:next w:val="Normal"/>
    <w:pPr>
      <w:keepNext w:val="1"/>
      <w:keepLines w:val="1"/>
      <w:jc w:val="center"/>
    </w:pPr>
    <w:rPr>
      <w:rFonts w:ascii="Arial Bold" w:cs="Arial Bold" w:eastAsia="Arial Bold" w:hAnsi="Arial Bold"/>
      <w:b w:val="1"/>
    </w:rPr>
  </w:style>
  <w:style w:type="paragraph" w:styleId="Heading4">
    <w:name w:val="heading 4"/>
    <w:basedOn w:val="Normal"/>
    <w:next w:val="Normal"/>
    <w:pPr>
      <w:keepNext w:val="1"/>
      <w:keepLines w:val="1"/>
      <w:jc w:val="left"/>
    </w:pPr>
    <w:rPr>
      <w:rFonts w:ascii="Arial Bold" w:cs="Arial Bold" w:eastAsia="Arial Bold" w:hAnsi="Arial Bold"/>
      <w:b w:val="1"/>
      <w:i w:val="1"/>
    </w:rPr>
  </w:style>
  <w:style w:type="paragraph" w:styleId="Heading5">
    <w:name w:val="heading 5"/>
    <w:basedOn w:val="Normal"/>
    <w:next w:val="Normal"/>
    <w:pPr>
      <w:keepNext w:val="1"/>
      <w:keepLines w:val="1"/>
      <w:jc w:val="left"/>
    </w:pPr>
    <w:rPr>
      <w:i w:val="1"/>
    </w:rPr>
  </w:style>
  <w:style w:type="paragraph" w:styleId="Heading6">
    <w:name w:val="heading 6"/>
    <w:basedOn w:val="Normal"/>
    <w:next w:val="Normal"/>
    <w:pPr>
      <w:keepNext w:val="1"/>
      <w:keepLines w:val="1"/>
      <w:ind w:left="851"/>
      <w:jc w:val="left"/>
    </w:pPr>
    <w:rPr>
      <w:b w:val="1"/>
      <w:i w:val="1"/>
    </w:rPr>
  </w:style>
  <w:style w:type="paragraph" w:styleId="Title">
    <w:name w:val="Title"/>
    <w:basedOn w:val="Normal"/>
    <w:next w:val="Normal"/>
    <w:pPr>
      <w:pBdr>
        <w:bottom w:color="ffc600" w:space="4" w:sz="8" w:val="single"/>
      </w:pBdr>
      <w:spacing w:after="300" w:line="240" w:lineRule="auto"/>
    </w:pPr>
    <w:rPr>
      <w:rFonts w:ascii="Calibri" w:cs="Calibri" w:eastAsia="Calibri" w:hAnsi="Calibri"/>
      <w:color w:val="3e4043"/>
      <w:sz w:val="52"/>
      <w:szCs w:val="52"/>
    </w:rPr>
  </w:style>
  <w:style w:type="paragraph" w:styleId="Subtitle">
    <w:name w:val="Subtitle"/>
    <w:basedOn w:val="Normal"/>
    <w:next w:val="Normal"/>
    <w:pPr/>
    <w:rPr>
      <w:i w:val="1"/>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IgjvegrpYiGVPPIJN7GqUWv1A==">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