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Macinnes Tooling</w:t>
      </w:r>
    </w:p>
    <w:p>
      <w:pPr>
        <w:rPr>
          <w:sz w:val="20"/>
        </w:rPr>
      </w:pPr>
      <w:r>
        <w:rPr>
          <w:sz w:val="20"/>
        </w:rPr>
        <w:t xml:space="preserve"/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23/02/2026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Macinnes Tooling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Macinnes Tooling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£281,088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1.6 multiple): £600,213
          <w:br/>
          Plus Excess Cash: £384,000
          <w:br/>
          Less Working Capital Adjustment: (£703,125)
          <w:br/>
          <w:br/>
          Total Offer Price: £281,088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£131,088
          <w:br/>
          <w:br/>
          Deferred consideration: £150,000
          <w:br/>
          Deferred terms: Payable over 60 months post-completion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Auty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Auty Consultancy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