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7890" w14:textId="77777777" w:rsidR="00981E26" w:rsidRPr="00981E26" w:rsidRDefault="00981E26" w:rsidP="0040653E">
      <w:pPr>
        <w:pStyle w:val="Heading1"/>
      </w:pPr>
      <w:r w:rsidRPr="00981E26">
        <w:t>SkyTeam PER Analysis Dashboard Report</w:t>
      </w:r>
    </w:p>
    <w:p w14:paraId="6893FB82" w14:textId="77777777" w:rsidR="00981E26" w:rsidRPr="00981E26" w:rsidRDefault="00981E26" w:rsidP="0040653E">
      <w:pPr>
        <w:pStyle w:val="Heading2"/>
      </w:pPr>
      <w:r w:rsidRPr="00981E26">
        <w:t>Introduction</w:t>
      </w:r>
    </w:p>
    <w:p w14:paraId="0DBCD02B" w14:textId="7475E538" w:rsidR="00622C4A" w:rsidRDefault="00981E26" w:rsidP="00981E26">
      <w:r w:rsidRPr="00981E26">
        <w:t>This report provides an analysis of the SkyTeam Partner Enabled Revenue (PER) across the Virgin Atlantic network. The analysis is based on the SkyTeam PER dashboard, which consolidates key metrics such as total revenue, total seats sold, and average revenue per seat. This report aims to highlight the performance of individual SkyTeam carriers, assess the contribution of key Origin-Destination (OD) pairs, and provide strategic recommendations based on the findings.</w:t>
      </w:r>
    </w:p>
    <w:p w14:paraId="755DE239" w14:textId="77777777" w:rsidR="00295E39" w:rsidRDefault="00295E39" w:rsidP="00981E26"/>
    <w:p w14:paraId="2B57B3C5" w14:textId="77777777" w:rsidR="0062781C" w:rsidRDefault="0062781C" w:rsidP="0062781C">
      <w:pPr>
        <w:pStyle w:val="Heading1"/>
      </w:pPr>
      <w:r>
        <w:t>Dashboard</w:t>
      </w:r>
    </w:p>
    <w:p w14:paraId="5E985A44" w14:textId="77777777" w:rsidR="0062781C" w:rsidRDefault="0062781C" w:rsidP="0062781C">
      <w:r>
        <w:rPr>
          <w:noProof/>
        </w:rPr>
        <w:drawing>
          <wp:inline distT="0" distB="0" distL="0" distR="0" wp14:anchorId="4620BA3E" wp14:editId="7095BAC8">
            <wp:extent cx="5731510" cy="3048000"/>
            <wp:effectExtent l="0" t="0" r="2540" b="0"/>
            <wp:docPr id="189114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4053" name=""/>
                    <pic:cNvPicPr/>
                  </pic:nvPicPr>
                  <pic:blipFill>
                    <a:blip r:embed="rId5"/>
                    <a:stretch>
                      <a:fillRect/>
                    </a:stretch>
                  </pic:blipFill>
                  <pic:spPr>
                    <a:xfrm>
                      <a:off x="0" y="0"/>
                      <a:ext cx="5731510" cy="3048000"/>
                    </a:xfrm>
                    <a:prstGeom prst="rect">
                      <a:avLst/>
                    </a:prstGeom>
                  </pic:spPr>
                </pic:pic>
              </a:graphicData>
            </a:graphic>
          </wp:inline>
        </w:drawing>
      </w:r>
    </w:p>
    <w:p w14:paraId="2244254D" w14:textId="604B3D2A" w:rsidR="0062781C" w:rsidRPr="00981E26" w:rsidRDefault="0062781C" w:rsidP="00981E26">
      <w:r>
        <w:rPr>
          <w:noProof/>
        </w:rPr>
        <w:drawing>
          <wp:inline distT="0" distB="0" distL="0" distR="0" wp14:anchorId="3B2B77D4" wp14:editId="0DA0CC85">
            <wp:extent cx="5731510" cy="2959100"/>
            <wp:effectExtent l="0" t="0" r="2540" b="0"/>
            <wp:docPr id="89998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3804" name=""/>
                    <pic:cNvPicPr/>
                  </pic:nvPicPr>
                  <pic:blipFill>
                    <a:blip r:embed="rId6"/>
                    <a:stretch>
                      <a:fillRect/>
                    </a:stretch>
                  </pic:blipFill>
                  <pic:spPr>
                    <a:xfrm>
                      <a:off x="0" y="0"/>
                      <a:ext cx="5731510" cy="2959100"/>
                    </a:xfrm>
                    <a:prstGeom prst="rect">
                      <a:avLst/>
                    </a:prstGeom>
                  </pic:spPr>
                </pic:pic>
              </a:graphicData>
            </a:graphic>
          </wp:inline>
        </w:drawing>
      </w:r>
    </w:p>
    <w:p w14:paraId="69A27005" w14:textId="77777777" w:rsidR="00981E26" w:rsidRPr="00981E26" w:rsidRDefault="00981E26" w:rsidP="00706215">
      <w:pPr>
        <w:pStyle w:val="Heading2"/>
      </w:pPr>
      <w:r w:rsidRPr="00981E26">
        <w:lastRenderedPageBreak/>
        <w:t>High-Level Overview</w:t>
      </w:r>
    </w:p>
    <w:p w14:paraId="17B05592" w14:textId="77777777" w:rsidR="00981E26" w:rsidRPr="00981E26" w:rsidRDefault="00981E26" w:rsidP="00B74BD6">
      <w:pPr>
        <w:pStyle w:val="Heading3"/>
      </w:pPr>
      <w:r w:rsidRPr="00981E26">
        <w:t>Key Metrics</w:t>
      </w:r>
    </w:p>
    <w:p w14:paraId="62CF8F23" w14:textId="77777777" w:rsidR="00981E26" w:rsidRPr="00981E26" w:rsidRDefault="00981E26" w:rsidP="00981E26">
      <w:pPr>
        <w:numPr>
          <w:ilvl w:val="0"/>
          <w:numId w:val="1"/>
        </w:numPr>
      </w:pPr>
      <w:r w:rsidRPr="00981E26">
        <w:rPr>
          <w:b/>
          <w:bCs/>
        </w:rPr>
        <w:t>Total Revenue</w:t>
      </w:r>
      <w:r w:rsidRPr="00981E26">
        <w:t>: £1.1bn</w:t>
      </w:r>
    </w:p>
    <w:p w14:paraId="4FB32E65" w14:textId="6EA18604" w:rsidR="00981E26" w:rsidRPr="00981E26" w:rsidRDefault="00981E26" w:rsidP="00981E26">
      <w:pPr>
        <w:numPr>
          <w:ilvl w:val="0"/>
          <w:numId w:val="1"/>
        </w:numPr>
      </w:pPr>
      <w:r w:rsidRPr="00981E26">
        <w:rPr>
          <w:b/>
          <w:bCs/>
        </w:rPr>
        <w:t>Total Seats Sold</w:t>
      </w:r>
      <w:r w:rsidR="00BF1EA8">
        <w:rPr>
          <w:b/>
          <w:bCs/>
        </w:rPr>
        <w:t xml:space="preserve"> (Passengers)</w:t>
      </w:r>
      <w:r w:rsidRPr="00981E26">
        <w:t>: 2.24M</w:t>
      </w:r>
    </w:p>
    <w:p w14:paraId="2807BC1F" w14:textId="1EBF4D45" w:rsidR="00981E26" w:rsidRDefault="00981E26" w:rsidP="00981E26">
      <w:pPr>
        <w:numPr>
          <w:ilvl w:val="0"/>
          <w:numId w:val="1"/>
        </w:numPr>
      </w:pPr>
      <w:r w:rsidRPr="00981E26">
        <w:rPr>
          <w:b/>
          <w:bCs/>
        </w:rPr>
        <w:t>Average Revenue per Seat</w:t>
      </w:r>
      <w:r w:rsidR="00BF1EA8">
        <w:rPr>
          <w:b/>
          <w:bCs/>
        </w:rPr>
        <w:t xml:space="preserve"> Sold</w:t>
      </w:r>
      <w:r w:rsidRPr="00981E26">
        <w:t>: £502.95</w:t>
      </w:r>
    </w:p>
    <w:p w14:paraId="394CC5EC" w14:textId="77777777" w:rsidR="00AD462F" w:rsidRDefault="00AD462F" w:rsidP="00AD462F">
      <w:pPr>
        <w:ind w:left="720"/>
        <w:rPr>
          <w:b/>
          <w:bCs/>
        </w:rPr>
      </w:pPr>
    </w:p>
    <w:p w14:paraId="6BCA7D9A" w14:textId="38DD3DBA" w:rsidR="00AD462F" w:rsidRDefault="00E44F5F" w:rsidP="00AD462F">
      <w:pPr>
        <w:ind w:left="720"/>
        <w:rPr>
          <w:b/>
          <w:bCs/>
        </w:rPr>
      </w:pPr>
      <w:r>
        <w:rPr>
          <w:noProof/>
        </w:rPr>
        <w:drawing>
          <wp:inline distT="0" distB="0" distL="0" distR="0" wp14:anchorId="1A95D96C" wp14:editId="287D01CB">
            <wp:extent cx="5731510" cy="1059180"/>
            <wp:effectExtent l="0" t="0" r="2540" b="7620"/>
            <wp:docPr id="49297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75491" name=""/>
                    <pic:cNvPicPr/>
                  </pic:nvPicPr>
                  <pic:blipFill>
                    <a:blip r:embed="rId7"/>
                    <a:stretch>
                      <a:fillRect/>
                    </a:stretch>
                  </pic:blipFill>
                  <pic:spPr>
                    <a:xfrm>
                      <a:off x="0" y="0"/>
                      <a:ext cx="5731510" cy="1059180"/>
                    </a:xfrm>
                    <a:prstGeom prst="rect">
                      <a:avLst/>
                    </a:prstGeom>
                  </pic:spPr>
                </pic:pic>
              </a:graphicData>
            </a:graphic>
          </wp:inline>
        </w:drawing>
      </w:r>
    </w:p>
    <w:p w14:paraId="46D3C03E" w14:textId="77777777" w:rsidR="00AD462F" w:rsidRPr="00981E26" w:rsidRDefault="00AD462F" w:rsidP="00AD462F">
      <w:pPr>
        <w:ind w:left="720"/>
      </w:pPr>
    </w:p>
    <w:p w14:paraId="4BC8CC86" w14:textId="77777777" w:rsidR="00981E26" w:rsidRPr="00981E26" w:rsidRDefault="00981E26" w:rsidP="004A32D6">
      <w:pPr>
        <w:pStyle w:val="Heading3"/>
      </w:pPr>
      <w:r w:rsidRPr="00981E26">
        <w:t>Visual Analysis</w:t>
      </w:r>
    </w:p>
    <w:p w14:paraId="715B13A8" w14:textId="77777777" w:rsidR="00981E26" w:rsidRPr="00981E26" w:rsidRDefault="00981E26" w:rsidP="00981E26">
      <w:pPr>
        <w:numPr>
          <w:ilvl w:val="0"/>
          <w:numId w:val="2"/>
        </w:numPr>
      </w:pPr>
      <w:r w:rsidRPr="00981E26">
        <w:rPr>
          <w:b/>
          <w:bCs/>
        </w:rPr>
        <w:t>Total Revenue by Carrier</w:t>
      </w:r>
      <w:r w:rsidRPr="00981E26">
        <w:t>:</w:t>
      </w:r>
    </w:p>
    <w:p w14:paraId="4E0E1236" w14:textId="77777777" w:rsidR="00981E26" w:rsidRPr="00981E26" w:rsidRDefault="00981E26" w:rsidP="00981E26">
      <w:pPr>
        <w:numPr>
          <w:ilvl w:val="1"/>
          <w:numId w:val="2"/>
        </w:numPr>
      </w:pPr>
      <w:r w:rsidRPr="00981E26">
        <w:rPr>
          <w:b/>
          <w:bCs/>
        </w:rPr>
        <w:t>Delta Airlines (DL)</w:t>
      </w:r>
      <w:r w:rsidRPr="00981E26">
        <w:t xml:space="preserve"> is the dominant carrier, generating £0.98bn, which is significantly higher than other carriers.</w:t>
      </w:r>
    </w:p>
    <w:p w14:paraId="0CDD76F7" w14:textId="77777777" w:rsidR="00981E26" w:rsidRPr="00981E26" w:rsidRDefault="00981E26" w:rsidP="00981E26">
      <w:pPr>
        <w:numPr>
          <w:ilvl w:val="1"/>
          <w:numId w:val="2"/>
        </w:numPr>
      </w:pPr>
      <w:r w:rsidRPr="00981E26">
        <w:rPr>
          <w:b/>
          <w:bCs/>
        </w:rPr>
        <w:t>Air France (AF)</w:t>
      </w:r>
      <w:r w:rsidRPr="00981E26">
        <w:t xml:space="preserve"> follows with £0.08bn, and </w:t>
      </w:r>
      <w:r w:rsidRPr="00981E26">
        <w:rPr>
          <w:b/>
          <w:bCs/>
        </w:rPr>
        <w:t>KLM (KL)</w:t>
      </w:r>
      <w:r w:rsidRPr="00981E26">
        <w:t xml:space="preserve"> with £0.05bn.</w:t>
      </w:r>
    </w:p>
    <w:p w14:paraId="272990F0" w14:textId="77777777" w:rsidR="00981E26" w:rsidRDefault="00981E26" w:rsidP="00981E26">
      <w:pPr>
        <w:numPr>
          <w:ilvl w:val="1"/>
          <w:numId w:val="2"/>
        </w:numPr>
      </w:pPr>
      <w:r w:rsidRPr="00981E26">
        <w:t>The remaining carriers, including ME, SV, AZ, and AM, contribute minimally to the overall revenue.</w:t>
      </w:r>
    </w:p>
    <w:p w14:paraId="0DC7310D" w14:textId="77777777" w:rsidR="003E607E" w:rsidRDefault="003E607E" w:rsidP="003E607E">
      <w:pPr>
        <w:ind w:left="1440"/>
      </w:pPr>
    </w:p>
    <w:p w14:paraId="0B60DFEB" w14:textId="66CBE451" w:rsidR="003E607E" w:rsidRDefault="00435865" w:rsidP="003E607E">
      <w:pPr>
        <w:ind w:left="1440"/>
      </w:pPr>
      <w:r>
        <w:rPr>
          <w:noProof/>
        </w:rPr>
        <w:drawing>
          <wp:inline distT="0" distB="0" distL="0" distR="0" wp14:anchorId="3702E01A" wp14:editId="5A4AC5D7">
            <wp:extent cx="3067050" cy="3441700"/>
            <wp:effectExtent l="0" t="0" r="0" b="6350"/>
            <wp:docPr id="208444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46684" name=""/>
                    <pic:cNvPicPr/>
                  </pic:nvPicPr>
                  <pic:blipFill>
                    <a:blip r:embed="rId8"/>
                    <a:stretch>
                      <a:fillRect/>
                    </a:stretch>
                  </pic:blipFill>
                  <pic:spPr>
                    <a:xfrm>
                      <a:off x="0" y="0"/>
                      <a:ext cx="3067050" cy="3441700"/>
                    </a:xfrm>
                    <a:prstGeom prst="rect">
                      <a:avLst/>
                    </a:prstGeom>
                  </pic:spPr>
                </pic:pic>
              </a:graphicData>
            </a:graphic>
          </wp:inline>
        </w:drawing>
      </w:r>
    </w:p>
    <w:p w14:paraId="6E6ABF56" w14:textId="77777777" w:rsidR="003E607E" w:rsidRPr="00981E26" w:rsidRDefault="003E607E" w:rsidP="003E607E">
      <w:pPr>
        <w:ind w:left="1440"/>
      </w:pPr>
    </w:p>
    <w:p w14:paraId="00AA0B4D" w14:textId="77777777" w:rsidR="00981E26" w:rsidRPr="00981E26" w:rsidRDefault="00981E26" w:rsidP="00981E26">
      <w:pPr>
        <w:numPr>
          <w:ilvl w:val="0"/>
          <w:numId w:val="2"/>
        </w:numPr>
      </w:pPr>
      <w:r w:rsidRPr="00981E26">
        <w:rPr>
          <w:b/>
          <w:bCs/>
        </w:rPr>
        <w:lastRenderedPageBreak/>
        <w:t>Total Seats Sold by Carrier</w:t>
      </w:r>
      <w:r w:rsidRPr="00981E26">
        <w:t>:</w:t>
      </w:r>
    </w:p>
    <w:p w14:paraId="168040B9" w14:textId="77777777" w:rsidR="00981E26" w:rsidRPr="00981E26" w:rsidRDefault="00981E26" w:rsidP="00981E26">
      <w:pPr>
        <w:numPr>
          <w:ilvl w:val="1"/>
          <w:numId w:val="2"/>
        </w:numPr>
      </w:pPr>
      <w:r w:rsidRPr="00981E26">
        <w:rPr>
          <w:b/>
          <w:bCs/>
        </w:rPr>
        <w:t>Delta Airlines (DL)</w:t>
      </w:r>
      <w:r w:rsidRPr="00981E26">
        <w:t xml:space="preserve"> also leads in the total number of seats sold, with 1.89M seats, representing the highest passenger volume.</w:t>
      </w:r>
    </w:p>
    <w:p w14:paraId="513FB214" w14:textId="77777777" w:rsidR="00981E26" w:rsidRPr="00981E26" w:rsidRDefault="00981E26" w:rsidP="00981E26">
      <w:pPr>
        <w:numPr>
          <w:ilvl w:val="1"/>
          <w:numId w:val="2"/>
        </w:numPr>
      </w:pPr>
      <w:r w:rsidRPr="00981E26">
        <w:rPr>
          <w:b/>
          <w:bCs/>
        </w:rPr>
        <w:t>Air France (AF)</w:t>
      </w:r>
      <w:r w:rsidRPr="00981E26">
        <w:t xml:space="preserve"> and </w:t>
      </w:r>
      <w:r w:rsidRPr="00981E26">
        <w:rPr>
          <w:b/>
          <w:bCs/>
        </w:rPr>
        <w:t>KLM (KL)</w:t>
      </w:r>
      <w:r w:rsidRPr="00981E26">
        <w:t xml:space="preserve"> follow with 0.19M and 0.13M seats sold, respectively.</w:t>
      </w:r>
    </w:p>
    <w:p w14:paraId="139F8970" w14:textId="77777777" w:rsidR="00981E26" w:rsidRDefault="00981E26" w:rsidP="00981E26">
      <w:pPr>
        <w:numPr>
          <w:ilvl w:val="1"/>
          <w:numId w:val="2"/>
        </w:numPr>
      </w:pPr>
      <w:r w:rsidRPr="00981E26">
        <w:t>Other carriers have sold very few seats, with some showing negligible contributions.</w:t>
      </w:r>
    </w:p>
    <w:p w14:paraId="54E0D59B" w14:textId="77777777" w:rsidR="00216573" w:rsidRDefault="00216573" w:rsidP="00216573">
      <w:pPr>
        <w:ind w:left="1440"/>
      </w:pPr>
    </w:p>
    <w:p w14:paraId="44C292B6" w14:textId="1C599EFE" w:rsidR="00216573" w:rsidRDefault="00974E25" w:rsidP="00216573">
      <w:pPr>
        <w:ind w:left="1440"/>
      </w:pPr>
      <w:r>
        <w:rPr>
          <w:noProof/>
        </w:rPr>
        <w:drawing>
          <wp:inline distT="0" distB="0" distL="0" distR="0" wp14:anchorId="35352C99" wp14:editId="53FCB782">
            <wp:extent cx="3638550" cy="3905250"/>
            <wp:effectExtent l="0" t="0" r="0" b="0"/>
            <wp:docPr id="32946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8065" name=""/>
                    <pic:cNvPicPr/>
                  </pic:nvPicPr>
                  <pic:blipFill>
                    <a:blip r:embed="rId9"/>
                    <a:stretch>
                      <a:fillRect/>
                    </a:stretch>
                  </pic:blipFill>
                  <pic:spPr>
                    <a:xfrm>
                      <a:off x="0" y="0"/>
                      <a:ext cx="3638550" cy="3905250"/>
                    </a:xfrm>
                    <a:prstGeom prst="rect">
                      <a:avLst/>
                    </a:prstGeom>
                  </pic:spPr>
                </pic:pic>
              </a:graphicData>
            </a:graphic>
          </wp:inline>
        </w:drawing>
      </w:r>
    </w:p>
    <w:p w14:paraId="004352C8" w14:textId="77777777" w:rsidR="00216573" w:rsidRPr="00981E26" w:rsidRDefault="00216573" w:rsidP="00216573">
      <w:pPr>
        <w:ind w:left="1440"/>
      </w:pPr>
    </w:p>
    <w:p w14:paraId="6A685983" w14:textId="77777777" w:rsidR="00981E26" w:rsidRPr="00981E26" w:rsidRDefault="00981E26" w:rsidP="00981E26">
      <w:pPr>
        <w:numPr>
          <w:ilvl w:val="0"/>
          <w:numId w:val="2"/>
        </w:numPr>
      </w:pPr>
      <w:r w:rsidRPr="00981E26">
        <w:rPr>
          <w:b/>
          <w:bCs/>
        </w:rPr>
        <w:t>Total Revenue &amp; Seats Sold by OD</w:t>
      </w:r>
      <w:r w:rsidRPr="00981E26">
        <w:t>:</w:t>
      </w:r>
    </w:p>
    <w:p w14:paraId="403EEFE6" w14:textId="77777777" w:rsidR="00981E26" w:rsidRPr="00981E26" w:rsidRDefault="00981E26" w:rsidP="00981E26">
      <w:pPr>
        <w:numPr>
          <w:ilvl w:val="1"/>
          <w:numId w:val="2"/>
        </w:numPr>
      </w:pPr>
      <w:r w:rsidRPr="00981E26">
        <w:t xml:space="preserve">The </w:t>
      </w:r>
      <w:r w:rsidRPr="00981E26">
        <w:rPr>
          <w:b/>
          <w:bCs/>
        </w:rPr>
        <w:t>JFK-LHR</w:t>
      </w:r>
      <w:r w:rsidRPr="00981E26">
        <w:t xml:space="preserve"> OD pair stands out as the most lucrative route, generating £194M in revenue with 0.36M seats sold.</w:t>
      </w:r>
    </w:p>
    <w:p w14:paraId="49862751" w14:textId="77777777" w:rsidR="00981E26" w:rsidRPr="00981E26" w:rsidRDefault="00981E26" w:rsidP="00981E26">
      <w:pPr>
        <w:numPr>
          <w:ilvl w:val="1"/>
          <w:numId w:val="2"/>
        </w:numPr>
      </w:pPr>
      <w:r w:rsidRPr="00981E26">
        <w:t xml:space="preserve">Other high-performing ODs include </w:t>
      </w:r>
      <w:r w:rsidRPr="00981E26">
        <w:rPr>
          <w:b/>
          <w:bCs/>
        </w:rPr>
        <w:t>LAX-LHR</w:t>
      </w:r>
      <w:r w:rsidRPr="00981E26">
        <w:t xml:space="preserve"> (£102M, 0.15M seats) and </w:t>
      </w:r>
      <w:r w:rsidRPr="00981E26">
        <w:rPr>
          <w:b/>
          <w:bCs/>
        </w:rPr>
        <w:t>ATL-LHR</w:t>
      </w:r>
      <w:r w:rsidRPr="00981E26">
        <w:t xml:space="preserve"> (£57M, 0.06M seats).</w:t>
      </w:r>
    </w:p>
    <w:p w14:paraId="3A9F2352" w14:textId="77777777" w:rsidR="00981E26" w:rsidRDefault="00981E26" w:rsidP="00981E26">
      <w:pPr>
        <w:numPr>
          <w:ilvl w:val="1"/>
          <w:numId w:val="2"/>
        </w:numPr>
      </w:pPr>
      <w:r w:rsidRPr="00981E26">
        <w:t>These routes are critical for maintaining overall revenue and seat occupancy levels.</w:t>
      </w:r>
    </w:p>
    <w:p w14:paraId="228883B4" w14:textId="77777777" w:rsidR="00974E25" w:rsidRDefault="00974E25" w:rsidP="00974E25">
      <w:pPr>
        <w:ind w:left="1440"/>
      </w:pPr>
    </w:p>
    <w:p w14:paraId="007B1C83" w14:textId="35AD859C" w:rsidR="00974E25" w:rsidRDefault="00C71974" w:rsidP="00974E25">
      <w:pPr>
        <w:ind w:left="1440"/>
      </w:pPr>
      <w:r>
        <w:rPr>
          <w:noProof/>
        </w:rPr>
        <w:lastRenderedPageBreak/>
        <w:drawing>
          <wp:inline distT="0" distB="0" distL="0" distR="0" wp14:anchorId="5CEB854A" wp14:editId="52655CFF">
            <wp:extent cx="3943350" cy="4314825"/>
            <wp:effectExtent l="0" t="0" r="0" b="9525"/>
            <wp:docPr id="52742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20354" name=""/>
                    <pic:cNvPicPr/>
                  </pic:nvPicPr>
                  <pic:blipFill>
                    <a:blip r:embed="rId10"/>
                    <a:stretch>
                      <a:fillRect/>
                    </a:stretch>
                  </pic:blipFill>
                  <pic:spPr>
                    <a:xfrm>
                      <a:off x="0" y="0"/>
                      <a:ext cx="3943350" cy="4314825"/>
                    </a:xfrm>
                    <a:prstGeom prst="rect">
                      <a:avLst/>
                    </a:prstGeom>
                  </pic:spPr>
                </pic:pic>
              </a:graphicData>
            </a:graphic>
          </wp:inline>
        </w:drawing>
      </w:r>
    </w:p>
    <w:p w14:paraId="6AE3B94B" w14:textId="77777777" w:rsidR="00974E25" w:rsidRPr="00981E26" w:rsidRDefault="00974E25" w:rsidP="00974E25">
      <w:pPr>
        <w:ind w:left="1440"/>
      </w:pPr>
    </w:p>
    <w:p w14:paraId="061AD2EA" w14:textId="77777777" w:rsidR="00981E26" w:rsidRPr="00981E26" w:rsidRDefault="00981E26" w:rsidP="00952575">
      <w:pPr>
        <w:pStyle w:val="Heading2"/>
      </w:pPr>
      <w:r w:rsidRPr="00981E26">
        <w:t>Detailed Analysis</w:t>
      </w:r>
    </w:p>
    <w:p w14:paraId="4E1A117B" w14:textId="77777777" w:rsidR="00981E26" w:rsidRPr="00981E26" w:rsidRDefault="00981E26" w:rsidP="00981E26">
      <w:pPr>
        <w:rPr>
          <w:b/>
          <w:bCs/>
        </w:rPr>
      </w:pPr>
      <w:r w:rsidRPr="00981E26">
        <w:rPr>
          <w:b/>
          <w:bCs/>
        </w:rPr>
        <w:t>Revenue and Seats Sold by Date (Quarter)</w:t>
      </w:r>
    </w:p>
    <w:p w14:paraId="591D778B" w14:textId="77777777" w:rsidR="00981E26" w:rsidRPr="00981E26" w:rsidRDefault="00981E26" w:rsidP="00981E26">
      <w:pPr>
        <w:numPr>
          <w:ilvl w:val="0"/>
          <w:numId w:val="3"/>
        </w:numPr>
      </w:pPr>
      <w:r w:rsidRPr="00981E26">
        <w:rPr>
          <w:b/>
          <w:bCs/>
        </w:rPr>
        <w:t>Trend Analysis</w:t>
      </w:r>
      <w:r w:rsidRPr="00981E26">
        <w:t>:</w:t>
      </w:r>
    </w:p>
    <w:p w14:paraId="5A8003DC" w14:textId="77777777" w:rsidR="00981E26" w:rsidRPr="00981E26" w:rsidRDefault="00981E26" w:rsidP="00981E26">
      <w:pPr>
        <w:numPr>
          <w:ilvl w:val="1"/>
          <w:numId w:val="3"/>
        </w:numPr>
      </w:pPr>
      <w:r w:rsidRPr="00981E26">
        <w:t>Revenue and seat sales fluctuate throughout the year, with notable peaks in May 2023 (£88M revenue, 0.17M seats) and November 2023 (£55M revenue, 0.12M seats).</w:t>
      </w:r>
    </w:p>
    <w:p w14:paraId="7C20EC21" w14:textId="77777777" w:rsidR="00981E26" w:rsidRPr="00981E26" w:rsidRDefault="00981E26" w:rsidP="00981E26">
      <w:pPr>
        <w:numPr>
          <w:ilvl w:val="1"/>
          <w:numId w:val="3"/>
        </w:numPr>
      </w:pPr>
      <w:r w:rsidRPr="00981E26">
        <w:t>A significant dip is observed in January 2024, with revenue dropping to £38M and seats sold decreasing to 0.07M.</w:t>
      </w:r>
    </w:p>
    <w:p w14:paraId="160FACB2" w14:textId="77777777" w:rsidR="00981E26" w:rsidRDefault="00981E26" w:rsidP="00981E26">
      <w:pPr>
        <w:numPr>
          <w:ilvl w:val="1"/>
          <w:numId w:val="3"/>
        </w:numPr>
      </w:pPr>
      <w:r w:rsidRPr="00981E26">
        <w:t>The data indicates seasonality in revenue and seat sales, suggesting the need for targeted marketing and resource allocation during peak travel times.</w:t>
      </w:r>
    </w:p>
    <w:p w14:paraId="7369599F" w14:textId="77777777" w:rsidR="00161C07" w:rsidRDefault="00161C07" w:rsidP="00161C07">
      <w:pPr>
        <w:ind w:left="1440"/>
      </w:pPr>
    </w:p>
    <w:p w14:paraId="39BDC400" w14:textId="000F167F" w:rsidR="00161C07" w:rsidRPr="00981E26" w:rsidRDefault="001312D3" w:rsidP="00EA4099">
      <w:pPr>
        <w:ind w:left="1440"/>
      </w:pPr>
      <w:r>
        <w:rPr>
          <w:noProof/>
        </w:rPr>
        <w:drawing>
          <wp:inline distT="0" distB="0" distL="0" distR="0" wp14:anchorId="7FF2223F" wp14:editId="4684CA20">
            <wp:extent cx="5731510" cy="1134110"/>
            <wp:effectExtent l="0" t="0" r="2540" b="8890"/>
            <wp:docPr id="105387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77420" name=""/>
                    <pic:cNvPicPr/>
                  </pic:nvPicPr>
                  <pic:blipFill>
                    <a:blip r:embed="rId11"/>
                    <a:stretch>
                      <a:fillRect/>
                    </a:stretch>
                  </pic:blipFill>
                  <pic:spPr>
                    <a:xfrm>
                      <a:off x="0" y="0"/>
                      <a:ext cx="5731510" cy="1134110"/>
                    </a:xfrm>
                    <a:prstGeom prst="rect">
                      <a:avLst/>
                    </a:prstGeom>
                  </pic:spPr>
                </pic:pic>
              </a:graphicData>
            </a:graphic>
          </wp:inline>
        </w:drawing>
      </w:r>
    </w:p>
    <w:p w14:paraId="7260E222" w14:textId="77777777" w:rsidR="00981E26" w:rsidRPr="00981E26" w:rsidRDefault="00981E26" w:rsidP="00981E26">
      <w:pPr>
        <w:rPr>
          <w:b/>
          <w:bCs/>
        </w:rPr>
      </w:pPr>
      <w:r w:rsidRPr="00981E26">
        <w:rPr>
          <w:b/>
          <w:bCs/>
        </w:rPr>
        <w:lastRenderedPageBreak/>
        <w:t>% Revenue Share of the Grand Total by Carrier</w:t>
      </w:r>
    </w:p>
    <w:p w14:paraId="09D01868" w14:textId="77777777" w:rsidR="00981E26" w:rsidRPr="00981E26" w:rsidRDefault="00981E26" w:rsidP="00981E26">
      <w:pPr>
        <w:numPr>
          <w:ilvl w:val="0"/>
          <w:numId w:val="4"/>
        </w:numPr>
      </w:pPr>
      <w:r w:rsidRPr="00981E26">
        <w:rPr>
          <w:b/>
          <w:bCs/>
        </w:rPr>
        <w:t>Carrier Dominance</w:t>
      </w:r>
      <w:r w:rsidRPr="00981E26">
        <w:t>:</w:t>
      </w:r>
    </w:p>
    <w:p w14:paraId="0F45108C" w14:textId="77777777" w:rsidR="00981E26" w:rsidRPr="00981E26" w:rsidRDefault="00981E26" w:rsidP="00981E26">
      <w:pPr>
        <w:numPr>
          <w:ilvl w:val="1"/>
          <w:numId w:val="4"/>
        </w:numPr>
      </w:pPr>
      <w:r w:rsidRPr="00981E26">
        <w:rPr>
          <w:b/>
          <w:bCs/>
        </w:rPr>
        <w:t>Delta Airlines (DL)</w:t>
      </w:r>
      <w:r w:rsidRPr="00981E26">
        <w:t xml:space="preserve"> accounts for 87.1% of the total revenue, underscoring its importance to the Virgin Atlantic network.</w:t>
      </w:r>
    </w:p>
    <w:p w14:paraId="67987844" w14:textId="77777777" w:rsidR="00981E26" w:rsidRPr="00981E26" w:rsidRDefault="00981E26" w:rsidP="00981E26">
      <w:pPr>
        <w:numPr>
          <w:ilvl w:val="1"/>
          <w:numId w:val="4"/>
        </w:numPr>
      </w:pPr>
      <w:r w:rsidRPr="00981E26">
        <w:rPr>
          <w:b/>
          <w:bCs/>
        </w:rPr>
        <w:t>Air France (AF)</w:t>
      </w:r>
      <w:r w:rsidRPr="00981E26">
        <w:t xml:space="preserve"> and </w:t>
      </w:r>
      <w:r w:rsidRPr="00981E26">
        <w:rPr>
          <w:b/>
          <w:bCs/>
        </w:rPr>
        <w:t>KLM (KL)</w:t>
      </w:r>
      <w:r w:rsidRPr="00981E26">
        <w:t xml:space="preserve"> contribute 7.2% and 4.6%, respectively, making them the second and third most significant carriers.</w:t>
      </w:r>
    </w:p>
    <w:p w14:paraId="5F4AA563" w14:textId="02B44AC9" w:rsidR="00981E26" w:rsidRDefault="00981E26" w:rsidP="00981E26">
      <w:pPr>
        <w:numPr>
          <w:ilvl w:val="1"/>
          <w:numId w:val="4"/>
        </w:numPr>
      </w:pPr>
      <w:r w:rsidRPr="00981E26">
        <w:t xml:space="preserve">Other carriers contribute less than 1% each, indicating potential areas for growth or </w:t>
      </w:r>
      <w:r w:rsidR="001F6983" w:rsidRPr="00981E26">
        <w:t>re-evaluation</w:t>
      </w:r>
      <w:r w:rsidRPr="00981E26">
        <w:t xml:space="preserve"> of partnerships.</w:t>
      </w:r>
    </w:p>
    <w:p w14:paraId="2E132041" w14:textId="77777777" w:rsidR="00E25011" w:rsidRDefault="00E25011" w:rsidP="00E25011">
      <w:pPr>
        <w:ind w:left="1440"/>
      </w:pPr>
    </w:p>
    <w:p w14:paraId="76110973" w14:textId="08188D42" w:rsidR="00E25011" w:rsidRDefault="00E25011" w:rsidP="00E25011">
      <w:pPr>
        <w:ind w:left="1440"/>
      </w:pPr>
      <w:r>
        <w:rPr>
          <w:noProof/>
        </w:rPr>
        <w:drawing>
          <wp:inline distT="0" distB="0" distL="0" distR="0" wp14:anchorId="30EFC43E" wp14:editId="794838E4">
            <wp:extent cx="3143250" cy="3324225"/>
            <wp:effectExtent l="0" t="0" r="0" b="9525"/>
            <wp:docPr id="159051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2469" name=""/>
                    <pic:cNvPicPr/>
                  </pic:nvPicPr>
                  <pic:blipFill>
                    <a:blip r:embed="rId12"/>
                    <a:stretch>
                      <a:fillRect/>
                    </a:stretch>
                  </pic:blipFill>
                  <pic:spPr>
                    <a:xfrm>
                      <a:off x="0" y="0"/>
                      <a:ext cx="3143250" cy="3324225"/>
                    </a:xfrm>
                    <a:prstGeom prst="rect">
                      <a:avLst/>
                    </a:prstGeom>
                  </pic:spPr>
                </pic:pic>
              </a:graphicData>
            </a:graphic>
          </wp:inline>
        </w:drawing>
      </w:r>
    </w:p>
    <w:p w14:paraId="70A1672B" w14:textId="77777777" w:rsidR="00E25011" w:rsidRPr="00981E26" w:rsidRDefault="00E25011" w:rsidP="00E25011">
      <w:pPr>
        <w:ind w:left="1440"/>
      </w:pPr>
    </w:p>
    <w:p w14:paraId="4DB7BB41" w14:textId="77777777" w:rsidR="00981E26" w:rsidRPr="00981E26" w:rsidRDefault="00981E26" w:rsidP="00981E26">
      <w:pPr>
        <w:rPr>
          <w:b/>
          <w:bCs/>
        </w:rPr>
      </w:pPr>
      <w:r w:rsidRPr="00981E26">
        <w:rPr>
          <w:b/>
          <w:bCs/>
        </w:rPr>
        <w:t>Tabular Breakdown: Carrier, Revenue, Seats Sold, Average Revenue per Seat</w:t>
      </w:r>
    </w:p>
    <w:p w14:paraId="1C9782DC" w14:textId="77777777" w:rsidR="00981E26" w:rsidRPr="00981E26" w:rsidRDefault="00981E26" w:rsidP="00981E26">
      <w:pPr>
        <w:numPr>
          <w:ilvl w:val="0"/>
          <w:numId w:val="5"/>
        </w:numPr>
      </w:pPr>
      <w:r w:rsidRPr="00981E26">
        <w:rPr>
          <w:b/>
          <w:bCs/>
        </w:rPr>
        <w:t>Detailed Carrier Performance</w:t>
      </w:r>
      <w:r w:rsidRPr="00981E26">
        <w:t>:</w:t>
      </w:r>
    </w:p>
    <w:p w14:paraId="7B83E804" w14:textId="77777777" w:rsidR="00981E26" w:rsidRPr="00981E26" w:rsidRDefault="00981E26" w:rsidP="00981E26">
      <w:pPr>
        <w:numPr>
          <w:ilvl w:val="1"/>
          <w:numId w:val="5"/>
        </w:numPr>
      </w:pPr>
      <w:r w:rsidRPr="00981E26">
        <w:t>The tabular data provides a granular view of each carrier’s performance in terms of revenue, seats sold, and average revenue per seat.</w:t>
      </w:r>
    </w:p>
    <w:p w14:paraId="0E68E734" w14:textId="77777777" w:rsidR="00981E26" w:rsidRPr="00981E26" w:rsidRDefault="00981E26" w:rsidP="00981E26">
      <w:pPr>
        <w:numPr>
          <w:ilvl w:val="1"/>
          <w:numId w:val="5"/>
        </w:numPr>
      </w:pPr>
      <w:r w:rsidRPr="00981E26">
        <w:rPr>
          <w:b/>
          <w:bCs/>
        </w:rPr>
        <w:t>Delta Airlines (DL)</w:t>
      </w:r>
      <w:r w:rsidRPr="00981E26">
        <w:t xml:space="preserve"> continues to lead with the highest revenue and seats sold, while </w:t>
      </w:r>
      <w:r w:rsidRPr="00981E26">
        <w:rPr>
          <w:b/>
          <w:bCs/>
        </w:rPr>
        <w:t>Air France (AF)</w:t>
      </w:r>
      <w:r w:rsidRPr="00981E26">
        <w:t xml:space="preserve"> and </w:t>
      </w:r>
      <w:r w:rsidRPr="00981E26">
        <w:rPr>
          <w:b/>
          <w:bCs/>
        </w:rPr>
        <w:t>KLM (KL)</w:t>
      </w:r>
      <w:r w:rsidRPr="00981E26">
        <w:t xml:space="preserve"> show moderate performance.</w:t>
      </w:r>
    </w:p>
    <w:p w14:paraId="697A7235" w14:textId="77777777" w:rsidR="00981E26" w:rsidRDefault="00981E26" w:rsidP="00981E26">
      <w:pPr>
        <w:numPr>
          <w:ilvl w:val="1"/>
          <w:numId w:val="5"/>
        </w:numPr>
      </w:pPr>
      <w:r w:rsidRPr="00981E26">
        <w:t xml:space="preserve">Some carriers, such as </w:t>
      </w:r>
      <w:r w:rsidRPr="00981E26">
        <w:rPr>
          <w:b/>
          <w:bCs/>
        </w:rPr>
        <w:t>ME</w:t>
      </w:r>
      <w:r w:rsidRPr="00981E26">
        <w:t xml:space="preserve"> and </w:t>
      </w:r>
      <w:r w:rsidRPr="00981E26">
        <w:rPr>
          <w:b/>
          <w:bCs/>
        </w:rPr>
        <w:t>SV</w:t>
      </w:r>
      <w:r w:rsidRPr="00981E26">
        <w:t>, exhibit low revenue and seat numbers, suggesting a need for further analysis or strategic changes.</w:t>
      </w:r>
    </w:p>
    <w:p w14:paraId="42EEC876" w14:textId="77777777" w:rsidR="004A0D65" w:rsidRDefault="004A0D65" w:rsidP="004A0D65">
      <w:pPr>
        <w:ind w:left="1440"/>
      </w:pPr>
    </w:p>
    <w:p w14:paraId="0C9DF7EA" w14:textId="01932340" w:rsidR="004A0D65" w:rsidRDefault="005A6199" w:rsidP="004A0D65">
      <w:pPr>
        <w:ind w:left="1440"/>
      </w:pPr>
      <w:r>
        <w:rPr>
          <w:noProof/>
        </w:rPr>
        <w:lastRenderedPageBreak/>
        <w:drawing>
          <wp:inline distT="0" distB="0" distL="0" distR="0" wp14:anchorId="04BBFA29" wp14:editId="3A78BB4E">
            <wp:extent cx="3581400" cy="4514850"/>
            <wp:effectExtent l="0" t="0" r="0" b="0"/>
            <wp:docPr id="160452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27326" name=""/>
                    <pic:cNvPicPr/>
                  </pic:nvPicPr>
                  <pic:blipFill>
                    <a:blip r:embed="rId13"/>
                    <a:stretch>
                      <a:fillRect/>
                    </a:stretch>
                  </pic:blipFill>
                  <pic:spPr>
                    <a:xfrm>
                      <a:off x="0" y="0"/>
                      <a:ext cx="3581400" cy="4514850"/>
                    </a:xfrm>
                    <a:prstGeom prst="rect">
                      <a:avLst/>
                    </a:prstGeom>
                  </pic:spPr>
                </pic:pic>
              </a:graphicData>
            </a:graphic>
          </wp:inline>
        </w:drawing>
      </w:r>
    </w:p>
    <w:p w14:paraId="64CDD461" w14:textId="77777777" w:rsidR="004A0D65" w:rsidRPr="00981E26" w:rsidRDefault="004A0D65" w:rsidP="004A0D65">
      <w:pPr>
        <w:ind w:left="1440"/>
      </w:pPr>
    </w:p>
    <w:p w14:paraId="197C3D90" w14:textId="77777777" w:rsidR="00981E26" w:rsidRPr="00981E26" w:rsidRDefault="00981E26" w:rsidP="00981E26">
      <w:pPr>
        <w:rPr>
          <w:b/>
          <w:bCs/>
        </w:rPr>
      </w:pPr>
      <w:r w:rsidRPr="00981E26">
        <w:rPr>
          <w:b/>
          <w:bCs/>
        </w:rPr>
        <w:t>Pivot Table: Trip OD, Carrier, Revenue</w:t>
      </w:r>
    </w:p>
    <w:p w14:paraId="4E527CC7" w14:textId="77777777" w:rsidR="00981E26" w:rsidRPr="00981E26" w:rsidRDefault="00981E26" w:rsidP="00981E26">
      <w:pPr>
        <w:numPr>
          <w:ilvl w:val="0"/>
          <w:numId w:val="6"/>
        </w:numPr>
      </w:pPr>
      <w:r w:rsidRPr="00981E26">
        <w:rPr>
          <w:b/>
          <w:bCs/>
        </w:rPr>
        <w:t>OD Pair Analysis</w:t>
      </w:r>
      <w:r w:rsidRPr="00981E26">
        <w:t>:</w:t>
      </w:r>
    </w:p>
    <w:p w14:paraId="4D89B25D" w14:textId="77777777" w:rsidR="00981E26" w:rsidRPr="00981E26" w:rsidRDefault="00981E26" w:rsidP="00981E26">
      <w:pPr>
        <w:numPr>
          <w:ilvl w:val="1"/>
          <w:numId w:val="6"/>
        </w:numPr>
      </w:pPr>
      <w:r w:rsidRPr="00981E26">
        <w:t>The pivot table reveals the revenue contribution of various OD pairs across different carriers.</w:t>
      </w:r>
    </w:p>
    <w:p w14:paraId="368C6BFB" w14:textId="77777777" w:rsidR="00981E26" w:rsidRPr="00981E26" w:rsidRDefault="00981E26" w:rsidP="00981E26">
      <w:pPr>
        <w:numPr>
          <w:ilvl w:val="1"/>
          <w:numId w:val="6"/>
        </w:numPr>
      </w:pPr>
      <w:r w:rsidRPr="00981E26">
        <w:t xml:space="preserve">High-revenue OD pairs like </w:t>
      </w:r>
      <w:r w:rsidRPr="00981E26">
        <w:rPr>
          <w:b/>
          <w:bCs/>
        </w:rPr>
        <w:t>JFK-LHR</w:t>
      </w:r>
      <w:r w:rsidRPr="00981E26">
        <w:t xml:space="preserve"> and </w:t>
      </w:r>
      <w:r w:rsidRPr="00981E26">
        <w:rPr>
          <w:b/>
          <w:bCs/>
        </w:rPr>
        <w:t>LAX-LHR</w:t>
      </w:r>
      <w:r w:rsidRPr="00981E26">
        <w:t xml:space="preserve"> are predominantly served by </w:t>
      </w:r>
      <w:r w:rsidRPr="00981E26">
        <w:rPr>
          <w:b/>
          <w:bCs/>
        </w:rPr>
        <w:t>Delta Airlines (DL)</w:t>
      </w:r>
      <w:r w:rsidRPr="00981E26">
        <w:t xml:space="preserve">, </w:t>
      </w:r>
      <w:r w:rsidRPr="00981E26">
        <w:rPr>
          <w:b/>
          <w:bCs/>
        </w:rPr>
        <w:t>Air France (AF)</w:t>
      </w:r>
      <w:r w:rsidRPr="00981E26">
        <w:t xml:space="preserve">, and </w:t>
      </w:r>
      <w:r w:rsidRPr="00981E26">
        <w:rPr>
          <w:b/>
          <w:bCs/>
        </w:rPr>
        <w:t>KLM (KL)</w:t>
      </w:r>
      <w:r w:rsidRPr="00981E26">
        <w:t>.</w:t>
      </w:r>
    </w:p>
    <w:p w14:paraId="44175FFD" w14:textId="77777777" w:rsidR="00981E26" w:rsidRDefault="00981E26" w:rsidP="00981E26">
      <w:pPr>
        <w:numPr>
          <w:ilvl w:val="1"/>
          <w:numId w:val="6"/>
        </w:numPr>
      </w:pPr>
      <w:r w:rsidRPr="00981E26">
        <w:t>The data highlights the concentration of revenue in specific routes, which could be targeted for further development.</w:t>
      </w:r>
    </w:p>
    <w:p w14:paraId="0A201586" w14:textId="77777777" w:rsidR="000F42B3" w:rsidRDefault="000F42B3" w:rsidP="000F42B3">
      <w:pPr>
        <w:ind w:left="1440"/>
      </w:pPr>
    </w:p>
    <w:p w14:paraId="22C724E9" w14:textId="75CCEC93" w:rsidR="000F42B3" w:rsidRDefault="00571A19" w:rsidP="000F42B3">
      <w:pPr>
        <w:ind w:left="1440"/>
      </w:pPr>
      <w:r>
        <w:rPr>
          <w:noProof/>
        </w:rPr>
        <w:lastRenderedPageBreak/>
        <w:drawing>
          <wp:inline distT="0" distB="0" distL="0" distR="0" wp14:anchorId="519CCD45" wp14:editId="077BB24D">
            <wp:extent cx="3943350" cy="4791075"/>
            <wp:effectExtent l="0" t="0" r="0" b="9525"/>
            <wp:docPr id="69113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37305" name=""/>
                    <pic:cNvPicPr/>
                  </pic:nvPicPr>
                  <pic:blipFill>
                    <a:blip r:embed="rId14"/>
                    <a:stretch>
                      <a:fillRect/>
                    </a:stretch>
                  </pic:blipFill>
                  <pic:spPr>
                    <a:xfrm>
                      <a:off x="0" y="0"/>
                      <a:ext cx="3943350" cy="4791075"/>
                    </a:xfrm>
                    <a:prstGeom prst="rect">
                      <a:avLst/>
                    </a:prstGeom>
                  </pic:spPr>
                </pic:pic>
              </a:graphicData>
            </a:graphic>
          </wp:inline>
        </w:drawing>
      </w:r>
    </w:p>
    <w:p w14:paraId="3F5C02EE" w14:textId="77777777" w:rsidR="000F42B3" w:rsidRPr="00981E26" w:rsidRDefault="000F42B3" w:rsidP="000F42B3">
      <w:pPr>
        <w:ind w:left="1440"/>
      </w:pPr>
    </w:p>
    <w:p w14:paraId="4FCA44A7" w14:textId="77777777" w:rsidR="00981E26" w:rsidRPr="00981E26" w:rsidRDefault="00981E26" w:rsidP="00143868">
      <w:pPr>
        <w:pStyle w:val="Heading2"/>
      </w:pPr>
      <w:r w:rsidRPr="00981E26">
        <w:t>Conclusions &amp; Recommendations</w:t>
      </w:r>
    </w:p>
    <w:p w14:paraId="1DB8890C" w14:textId="77777777" w:rsidR="00981E26" w:rsidRPr="00981E26" w:rsidRDefault="00981E26" w:rsidP="00143868">
      <w:pPr>
        <w:pStyle w:val="Heading3"/>
      </w:pPr>
      <w:r w:rsidRPr="00981E26">
        <w:t>Key Insights</w:t>
      </w:r>
    </w:p>
    <w:p w14:paraId="4B6E44AF" w14:textId="77777777" w:rsidR="00981E26" w:rsidRPr="00981E26" w:rsidRDefault="00981E26" w:rsidP="00981E26">
      <w:pPr>
        <w:numPr>
          <w:ilvl w:val="0"/>
          <w:numId w:val="7"/>
        </w:numPr>
      </w:pPr>
      <w:r w:rsidRPr="00981E26">
        <w:rPr>
          <w:b/>
          <w:bCs/>
        </w:rPr>
        <w:t>Delta Airlines (DL)</w:t>
      </w:r>
      <w:r w:rsidRPr="00981E26">
        <w:t xml:space="preserve"> is the cornerstone of Virgin Atlantic's SkyTeam partnership, contributing the majority of the revenue and passenger volume.</w:t>
      </w:r>
    </w:p>
    <w:p w14:paraId="604DD7AC" w14:textId="77777777" w:rsidR="00981E26" w:rsidRPr="00981E26" w:rsidRDefault="00981E26" w:rsidP="00981E26">
      <w:pPr>
        <w:numPr>
          <w:ilvl w:val="0"/>
          <w:numId w:val="7"/>
        </w:numPr>
      </w:pPr>
      <w:r w:rsidRPr="00981E26">
        <w:t xml:space="preserve">The </w:t>
      </w:r>
      <w:r w:rsidRPr="00981E26">
        <w:rPr>
          <w:b/>
          <w:bCs/>
        </w:rPr>
        <w:t>JFK-LHR</w:t>
      </w:r>
      <w:r w:rsidRPr="00981E26">
        <w:t xml:space="preserve"> route is the most profitable OD pair, emphasizing its strategic importance.</w:t>
      </w:r>
    </w:p>
    <w:p w14:paraId="2557C31E" w14:textId="77777777" w:rsidR="00981E26" w:rsidRPr="00981E26" w:rsidRDefault="00981E26" w:rsidP="00981E26">
      <w:pPr>
        <w:numPr>
          <w:ilvl w:val="0"/>
          <w:numId w:val="7"/>
        </w:numPr>
      </w:pPr>
      <w:r w:rsidRPr="00981E26">
        <w:t>Other carriers and OD pairs contribute significantly less, indicating potential areas for improvement or increased focus.</w:t>
      </w:r>
    </w:p>
    <w:p w14:paraId="32E52360" w14:textId="77777777" w:rsidR="00981E26" w:rsidRPr="00981E26" w:rsidRDefault="00981E26" w:rsidP="00143868">
      <w:pPr>
        <w:pStyle w:val="Heading3"/>
      </w:pPr>
      <w:r w:rsidRPr="00981E26">
        <w:t>Recommendations</w:t>
      </w:r>
    </w:p>
    <w:p w14:paraId="1B8AECAC" w14:textId="77777777" w:rsidR="00981E26" w:rsidRPr="00981E26" w:rsidRDefault="00981E26" w:rsidP="00981E26">
      <w:pPr>
        <w:numPr>
          <w:ilvl w:val="0"/>
          <w:numId w:val="8"/>
        </w:numPr>
      </w:pPr>
      <w:r w:rsidRPr="00981E26">
        <w:rPr>
          <w:b/>
          <w:bCs/>
        </w:rPr>
        <w:t>Strengthen the Partnership with Delta Airlines</w:t>
      </w:r>
      <w:r w:rsidRPr="00981E26">
        <w:t>:</w:t>
      </w:r>
    </w:p>
    <w:p w14:paraId="3BA6514F" w14:textId="77777777" w:rsidR="00981E26" w:rsidRPr="00981E26" w:rsidRDefault="00981E26" w:rsidP="00981E26">
      <w:pPr>
        <w:numPr>
          <w:ilvl w:val="1"/>
          <w:numId w:val="8"/>
        </w:numPr>
      </w:pPr>
      <w:r w:rsidRPr="00981E26">
        <w:t>Given Delta’s significant contribution, expanding marketing efforts and partnership initiatives with DL could further enhance revenue.</w:t>
      </w:r>
    </w:p>
    <w:p w14:paraId="768A20D5" w14:textId="77777777" w:rsidR="00981E26" w:rsidRPr="00981E26" w:rsidRDefault="00981E26" w:rsidP="00981E26">
      <w:pPr>
        <w:numPr>
          <w:ilvl w:val="0"/>
          <w:numId w:val="8"/>
        </w:numPr>
      </w:pPr>
      <w:r w:rsidRPr="00981E26">
        <w:rPr>
          <w:b/>
          <w:bCs/>
        </w:rPr>
        <w:t>Optimize Resource Allocation for High-Performing Routes</w:t>
      </w:r>
      <w:r w:rsidRPr="00981E26">
        <w:t>:</w:t>
      </w:r>
    </w:p>
    <w:p w14:paraId="2C1A831E" w14:textId="77777777" w:rsidR="00981E26" w:rsidRPr="00981E26" w:rsidRDefault="00981E26" w:rsidP="00981E26">
      <w:pPr>
        <w:numPr>
          <w:ilvl w:val="1"/>
          <w:numId w:val="8"/>
        </w:numPr>
      </w:pPr>
      <w:r w:rsidRPr="00981E26">
        <w:lastRenderedPageBreak/>
        <w:t>Focus on maximizing the profitability of high-revenue OD pairs like JFK-LHR and LAX-LHR through targeted promotions and enhanced customer experiences.</w:t>
      </w:r>
    </w:p>
    <w:p w14:paraId="1024D391" w14:textId="77777777" w:rsidR="00981E26" w:rsidRPr="00981E26" w:rsidRDefault="00981E26" w:rsidP="00981E26">
      <w:pPr>
        <w:numPr>
          <w:ilvl w:val="0"/>
          <w:numId w:val="8"/>
        </w:numPr>
      </w:pPr>
      <w:r w:rsidRPr="00981E26">
        <w:rPr>
          <w:b/>
          <w:bCs/>
        </w:rPr>
        <w:t>Explore Growth Opportunities for Underperforming Carriers</w:t>
      </w:r>
      <w:r w:rsidRPr="00981E26">
        <w:t>:</w:t>
      </w:r>
    </w:p>
    <w:p w14:paraId="6FD527F5" w14:textId="77777777" w:rsidR="00981E26" w:rsidRPr="00981E26" w:rsidRDefault="00981E26" w:rsidP="00981E26">
      <w:pPr>
        <w:numPr>
          <w:ilvl w:val="1"/>
          <w:numId w:val="8"/>
        </w:numPr>
      </w:pPr>
      <w:r w:rsidRPr="00981E26">
        <w:t xml:space="preserve">Investigate why carriers like </w:t>
      </w:r>
      <w:r w:rsidRPr="00981E26">
        <w:rPr>
          <w:b/>
          <w:bCs/>
        </w:rPr>
        <w:t>Air France</w:t>
      </w:r>
      <w:r w:rsidRPr="00981E26">
        <w:t xml:space="preserve"> and </w:t>
      </w:r>
      <w:r w:rsidRPr="00981E26">
        <w:rPr>
          <w:b/>
          <w:bCs/>
        </w:rPr>
        <w:t>KLM</w:t>
      </w:r>
      <w:r w:rsidRPr="00981E26">
        <w:t xml:space="preserve"> are lagging behind DL, and develop strategies to increase their market share.</w:t>
      </w:r>
    </w:p>
    <w:p w14:paraId="5F6ACA61" w14:textId="77777777" w:rsidR="00981E26" w:rsidRDefault="00981E26" w:rsidP="00981E26">
      <w:pPr>
        <w:numPr>
          <w:ilvl w:val="1"/>
          <w:numId w:val="8"/>
        </w:numPr>
      </w:pPr>
      <w:r w:rsidRPr="00981E26">
        <w:t>Consider reallocation of resources or marketing efforts to improve performance on routes that currently generate minimal revenue.</w:t>
      </w:r>
    </w:p>
    <w:p w14:paraId="0F00381C" w14:textId="70ADD2A5" w:rsidR="00713251" w:rsidRDefault="00713251"/>
    <w:sectPr w:rsidR="0071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29FA"/>
    <w:multiLevelType w:val="multilevel"/>
    <w:tmpl w:val="4CB8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26A74"/>
    <w:multiLevelType w:val="multilevel"/>
    <w:tmpl w:val="7A5A4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2332F"/>
    <w:multiLevelType w:val="multilevel"/>
    <w:tmpl w:val="839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97A00"/>
    <w:multiLevelType w:val="multilevel"/>
    <w:tmpl w:val="3DDED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97944"/>
    <w:multiLevelType w:val="multilevel"/>
    <w:tmpl w:val="FC9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3024B"/>
    <w:multiLevelType w:val="multilevel"/>
    <w:tmpl w:val="6D4EC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A2792"/>
    <w:multiLevelType w:val="multilevel"/>
    <w:tmpl w:val="7132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E343B"/>
    <w:multiLevelType w:val="multilevel"/>
    <w:tmpl w:val="D656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828355">
    <w:abstractNumId w:val="4"/>
  </w:num>
  <w:num w:numId="2" w16cid:durableId="1835148263">
    <w:abstractNumId w:val="3"/>
  </w:num>
  <w:num w:numId="3" w16cid:durableId="98379037">
    <w:abstractNumId w:val="7"/>
  </w:num>
  <w:num w:numId="4" w16cid:durableId="868953407">
    <w:abstractNumId w:val="5"/>
  </w:num>
  <w:num w:numId="5" w16cid:durableId="175005435">
    <w:abstractNumId w:val="1"/>
  </w:num>
  <w:num w:numId="6" w16cid:durableId="1254438133">
    <w:abstractNumId w:val="6"/>
  </w:num>
  <w:num w:numId="7" w16cid:durableId="1999839854">
    <w:abstractNumId w:val="2"/>
  </w:num>
  <w:num w:numId="8" w16cid:durableId="133564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26"/>
    <w:rsid w:val="00042610"/>
    <w:rsid w:val="000D56C4"/>
    <w:rsid w:val="000F0CCF"/>
    <w:rsid w:val="000F42B3"/>
    <w:rsid w:val="001242A9"/>
    <w:rsid w:val="001312D3"/>
    <w:rsid w:val="00140B5B"/>
    <w:rsid w:val="00143868"/>
    <w:rsid w:val="00144060"/>
    <w:rsid w:val="001452FD"/>
    <w:rsid w:val="00161C07"/>
    <w:rsid w:val="001F6983"/>
    <w:rsid w:val="001F6B7B"/>
    <w:rsid w:val="00216573"/>
    <w:rsid w:val="00231B68"/>
    <w:rsid w:val="00233725"/>
    <w:rsid w:val="00250092"/>
    <w:rsid w:val="002569EE"/>
    <w:rsid w:val="002805FC"/>
    <w:rsid w:val="00295E39"/>
    <w:rsid w:val="003412B1"/>
    <w:rsid w:val="00397A98"/>
    <w:rsid w:val="003B20BC"/>
    <w:rsid w:val="003C41D0"/>
    <w:rsid w:val="003D55F3"/>
    <w:rsid w:val="003E607E"/>
    <w:rsid w:val="003F6CEF"/>
    <w:rsid w:val="0040653E"/>
    <w:rsid w:val="00435865"/>
    <w:rsid w:val="00435ABD"/>
    <w:rsid w:val="00442E66"/>
    <w:rsid w:val="004A0D65"/>
    <w:rsid w:val="004A32D6"/>
    <w:rsid w:val="004B5495"/>
    <w:rsid w:val="004E77AF"/>
    <w:rsid w:val="005009D9"/>
    <w:rsid w:val="00562A38"/>
    <w:rsid w:val="00571A19"/>
    <w:rsid w:val="0057563F"/>
    <w:rsid w:val="005A6199"/>
    <w:rsid w:val="005A7118"/>
    <w:rsid w:val="005B3461"/>
    <w:rsid w:val="005C1936"/>
    <w:rsid w:val="005C6ED8"/>
    <w:rsid w:val="005F1222"/>
    <w:rsid w:val="006153AB"/>
    <w:rsid w:val="00622C4A"/>
    <w:rsid w:val="0062781C"/>
    <w:rsid w:val="00685D63"/>
    <w:rsid w:val="006B5AC2"/>
    <w:rsid w:val="006F44AF"/>
    <w:rsid w:val="00706215"/>
    <w:rsid w:val="00713251"/>
    <w:rsid w:val="00722B8A"/>
    <w:rsid w:val="00750BB7"/>
    <w:rsid w:val="00770304"/>
    <w:rsid w:val="007B7B57"/>
    <w:rsid w:val="0080133C"/>
    <w:rsid w:val="008214BB"/>
    <w:rsid w:val="008236DB"/>
    <w:rsid w:val="008E06A9"/>
    <w:rsid w:val="008E0FD9"/>
    <w:rsid w:val="008E50F8"/>
    <w:rsid w:val="008F5CB3"/>
    <w:rsid w:val="00912926"/>
    <w:rsid w:val="00925EC8"/>
    <w:rsid w:val="00952575"/>
    <w:rsid w:val="00974E25"/>
    <w:rsid w:val="00981E26"/>
    <w:rsid w:val="009A35A2"/>
    <w:rsid w:val="009D0D09"/>
    <w:rsid w:val="00A45035"/>
    <w:rsid w:val="00A5080D"/>
    <w:rsid w:val="00A65D57"/>
    <w:rsid w:val="00A724DC"/>
    <w:rsid w:val="00AA5570"/>
    <w:rsid w:val="00AB5781"/>
    <w:rsid w:val="00AD462F"/>
    <w:rsid w:val="00B15506"/>
    <w:rsid w:val="00B44149"/>
    <w:rsid w:val="00B50C33"/>
    <w:rsid w:val="00B74BD6"/>
    <w:rsid w:val="00B75BCF"/>
    <w:rsid w:val="00BC684E"/>
    <w:rsid w:val="00BC6D23"/>
    <w:rsid w:val="00BD5CB5"/>
    <w:rsid w:val="00BF1EA8"/>
    <w:rsid w:val="00C35D86"/>
    <w:rsid w:val="00C61E84"/>
    <w:rsid w:val="00C71974"/>
    <w:rsid w:val="00C9623F"/>
    <w:rsid w:val="00CB7174"/>
    <w:rsid w:val="00CE57BA"/>
    <w:rsid w:val="00D02AAD"/>
    <w:rsid w:val="00D15862"/>
    <w:rsid w:val="00D238C6"/>
    <w:rsid w:val="00D67A1B"/>
    <w:rsid w:val="00D81E75"/>
    <w:rsid w:val="00DC388B"/>
    <w:rsid w:val="00E25011"/>
    <w:rsid w:val="00E43E22"/>
    <w:rsid w:val="00E44F5F"/>
    <w:rsid w:val="00E9628F"/>
    <w:rsid w:val="00EA4099"/>
    <w:rsid w:val="00EC14D1"/>
    <w:rsid w:val="00F156FA"/>
    <w:rsid w:val="00F510A1"/>
    <w:rsid w:val="00F83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5344"/>
  <w15:chartTrackingRefBased/>
  <w15:docId w15:val="{79726772-6957-4978-A726-3399140F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BD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65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4B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085596">
      <w:bodyDiv w:val="1"/>
      <w:marLeft w:val="0"/>
      <w:marRight w:val="0"/>
      <w:marTop w:val="0"/>
      <w:marBottom w:val="0"/>
      <w:divBdr>
        <w:top w:val="none" w:sz="0" w:space="0" w:color="auto"/>
        <w:left w:val="none" w:sz="0" w:space="0" w:color="auto"/>
        <w:bottom w:val="none" w:sz="0" w:space="0" w:color="auto"/>
        <w:right w:val="none" w:sz="0" w:space="0" w:color="auto"/>
      </w:divBdr>
      <w:divsChild>
        <w:div w:id="1702432259">
          <w:marLeft w:val="0"/>
          <w:marRight w:val="0"/>
          <w:marTop w:val="0"/>
          <w:marBottom w:val="0"/>
          <w:divBdr>
            <w:top w:val="none" w:sz="0" w:space="0" w:color="auto"/>
            <w:left w:val="none" w:sz="0" w:space="0" w:color="auto"/>
            <w:bottom w:val="none" w:sz="0" w:space="0" w:color="auto"/>
            <w:right w:val="none" w:sz="0" w:space="0" w:color="auto"/>
          </w:divBdr>
          <w:divsChild>
            <w:div w:id="1361784387">
              <w:marLeft w:val="0"/>
              <w:marRight w:val="0"/>
              <w:marTop w:val="0"/>
              <w:marBottom w:val="0"/>
              <w:divBdr>
                <w:top w:val="none" w:sz="0" w:space="0" w:color="auto"/>
                <w:left w:val="none" w:sz="0" w:space="0" w:color="auto"/>
                <w:bottom w:val="none" w:sz="0" w:space="0" w:color="auto"/>
                <w:right w:val="none" w:sz="0" w:space="0" w:color="auto"/>
              </w:divBdr>
              <w:divsChild>
                <w:div w:id="1206871469">
                  <w:marLeft w:val="0"/>
                  <w:marRight w:val="0"/>
                  <w:marTop w:val="0"/>
                  <w:marBottom w:val="0"/>
                  <w:divBdr>
                    <w:top w:val="none" w:sz="0" w:space="0" w:color="auto"/>
                    <w:left w:val="none" w:sz="0" w:space="0" w:color="auto"/>
                    <w:bottom w:val="none" w:sz="0" w:space="0" w:color="auto"/>
                    <w:right w:val="none" w:sz="0" w:space="0" w:color="auto"/>
                  </w:divBdr>
                  <w:divsChild>
                    <w:div w:id="68580866">
                      <w:marLeft w:val="0"/>
                      <w:marRight w:val="0"/>
                      <w:marTop w:val="0"/>
                      <w:marBottom w:val="0"/>
                      <w:divBdr>
                        <w:top w:val="none" w:sz="0" w:space="0" w:color="auto"/>
                        <w:left w:val="none" w:sz="0" w:space="0" w:color="auto"/>
                        <w:bottom w:val="none" w:sz="0" w:space="0" w:color="auto"/>
                        <w:right w:val="none" w:sz="0" w:space="0" w:color="auto"/>
                      </w:divBdr>
                      <w:divsChild>
                        <w:div w:id="796918908">
                          <w:marLeft w:val="0"/>
                          <w:marRight w:val="0"/>
                          <w:marTop w:val="0"/>
                          <w:marBottom w:val="0"/>
                          <w:divBdr>
                            <w:top w:val="none" w:sz="0" w:space="0" w:color="auto"/>
                            <w:left w:val="none" w:sz="0" w:space="0" w:color="auto"/>
                            <w:bottom w:val="none" w:sz="0" w:space="0" w:color="auto"/>
                            <w:right w:val="none" w:sz="0" w:space="0" w:color="auto"/>
                          </w:divBdr>
                          <w:divsChild>
                            <w:div w:id="1991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85840">
      <w:bodyDiv w:val="1"/>
      <w:marLeft w:val="0"/>
      <w:marRight w:val="0"/>
      <w:marTop w:val="0"/>
      <w:marBottom w:val="0"/>
      <w:divBdr>
        <w:top w:val="none" w:sz="0" w:space="0" w:color="auto"/>
        <w:left w:val="none" w:sz="0" w:space="0" w:color="auto"/>
        <w:bottom w:val="none" w:sz="0" w:space="0" w:color="auto"/>
        <w:right w:val="none" w:sz="0" w:space="0" w:color="auto"/>
      </w:divBdr>
      <w:divsChild>
        <w:div w:id="1825076728">
          <w:marLeft w:val="0"/>
          <w:marRight w:val="0"/>
          <w:marTop w:val="0"/>
          <w:marBottom w:val="0"/>
          <w:divBdr>
            <w:top w:val="none" w:sz="0" w:space="0" w:color="auto"/>
            <w:left w:val="none" w:sz="0" w:space="0" w:color="auto"/>
            <w:bottom w:val="none" w:sz="0" w:space="0" w:color="auto"/>
            <w:right w:val="none" w:sz="0" w:space="0" w:color="auto"/>
          </w:divBdr>
          <w:divsChild>
            <w:div w:id="53624576">
              <w:marLeft w:val="0"/>
              <w:marRight w:val="0"/>
              <w:marTop w:val="0"/>
              <w:marBottom w:val="0"/>
              <w:divBdr>
                <w:top w:val="none" w:sz="0" w:space="0" w:color="auto"/>
                <w:left w:val="none" w:sz="0" w:space="0" w:color="auto"/>
                <w:bottom w:val="none" w:sz="0" w:space="0" w:color="auto"/>
                <w:right w:val="none" w:sz="0" w:space="0" w:color="auto"/>
              </w:divBdr>
              <w:divsChild>
                <w:div w:id="738555992">
                  <w:marLeft w:val="0"/>
                  <w:marRight w:val="0"/>
                  <w:marTop w:val="0"/>
                  <w:marBottom w:val="0"/>
                  <w:divBdr>
                    <w:top w:val="none" w:sz="0" w:space="0" w:color="auto"/>
                    <w:left w:val="none" w:sz="0" w:space="0" w:color="auto"/>
                    <w:bottom w:val="none" w:sz="0" w:space="0" w:color="auto"/>
                    <w:right w:val="none" w:sz="0" w:space="0" w:color="auto"/>
                  </w:divBdr>
                  <w:divsChild>
                    <w:div w:id="2085451812">
                      <w:marLeft w:val="0"/>
                      <w:marRight w:val="0"/>
                      <w:marTop w:val="0"/>
                      <w:marBottom w:val="0"/>
                      <w:divBdr>
                        <w:top w:val="none" w:sz="0" w:space="0" w:color="auto"/>
                        <w:left w:val="none" w:sz="0" w:space="0" w:color="auto"/>
                        <w:bottom w:val="none" w:sz="0" w:space="0" w:color="auto"/>
                        <w:right w:val="none" w:sz="0" w:space="0" w:color="auto"/>
                      </w:divBdr>
                      <w:divsChild>
                        <w:div w:id="302660121">
                          <w:marLeft w:val="0"/>
                          <w:marRight w:val="0"/>
                          <w:marTop w:val="0"/>
                          <w:marBottom w:val="0"/>
                          <w:divBdr>
                            <w:top w:val="none" w:sz="0" w:space="0" w:color="auto"/>
                            <w:left w:val="none" w:sz="0" w:space="0" w:color="auto"/>
                            <w:bottom w:val="none" w:sz="0" w:space="0" w:color="auto"/>
                            <w:right w:val="none" w:sz="0" w:space="0" w:color="auto"/>
                          </w:divBdr>
                          <w:divsChild>
                            <w:div w:id="17816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Njie</dc:creator>
  <cp:keywords/>
  <dc:description/>
  <cp:lastModifiedBy>Adama Njie</cp:lastModifiedBy>
  <cp:revision>41</cp:revision>
  <cp:lastPrinted>2024-08-11T15:47:00Z</cp:lastPrinted>
  <dcterms:created xsi:type="dcterms:W3CDTF">2024-08-11T14:20:00Z</dcterms:created>
  <dcterms:modified xsi:type="dcterms:W3CDTF">2024-08-11T16:07:00Z</dcterms:modified>
</cp:coreProperties>
</file>