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4E7F5" w14:textId="77777777" w:rsidR="00653670" w:rsidRDefault="00653670" w:rsidP="00653670">
      <w:pPr>
        <w:rPr>
          <w:color w:val="1F497D"/>
        </w:rPr>
      </w:pPr>
    </w:p>
    <w:p w14:paraId="25D3922C" w14:textId="77777777" w:rsidR="00653670" w:rsidRDefault="00653670" w:rsidP="00BA663B">
      <w:pPr>
        <w:rPr>
          <w:b/>
          <w:bCs/>
          <w:color w:val="1F497D"/>
        </w:rPr>
      </w:pPr>
    </w:p>
    <w:p w14:paraId="3A691925" w14:textId="77777777" w:rsidR="00F936CB" w:rsidRDefault="00F936CB" w:rsidP="00BA663B">
      <w:pPr>
        <w:rPr>
          <w:b/>
          <w:bCs/>
          <w:color w:val="1F497D"/>
        </w:rPr>
      </w:pPr>
    </w:p>
    <w:p w14:paraId="6CF67C60" w14:textId="77777777" w:rsidR="00285ECE" w:rsidRPr="00D776A1" w:rsidRDefault="00CE4A75" w:rsidP="00D776A1">
      <w:pPr>
        <w:rPr>
          <w:b/>
          <w:bCs/>
          <w:color w:val="1F497D"/>
        </w:rPr>
      </w:pPr>
      <w:r w:rsidRPr="00D776A1">
        <w:rPr>
          <w:b/>
          <w:bCs/>
          <w:color w:val="1F497D"/>
        </w:rPr>
        <w:t>BENEFITS OF EBCR FOR THE EU AND RWANDA</w:t>
      </w:r>
    </w:p>
    <w:p w14:paraId="470E6A35" w14:textId="77777777" w:rsidR="00F936CB" w:rsidRDefault="00F936CB" w:rsidP="00BA663B">
      <w:pPr>
        <w:rPr>
          <w:b/>
          <w:bCs/>
          <w:color w:val="1F497D"/>
        </w:rPr>
      </w:pPr>
    </w:p>
    <w:p w14:paraId="0C2D92D9" w14:textId="0DC7D3D1" w:rsidR="00AF10C5" w:rsidRDefault="00AF10C5" w:rsidP="00541B70">
      <w:pPr>
        <w:pStyle w:val="ListParagraph"/>
        <w:numPr>
          <w:ilvl w:val="0"/>
          <w:numId w:val="12"/>
        </w:numPr>
        <w:jc w:val="both"/>
        <w:rPr>
          <w:b/>
        </w:rPr>
      </w:pPr>
      <w:r>
        <w:rPr>
          <w:b/>
        </w:rPr>
        <w:t>M</w:t>
      </w:r>
      <w:r w:rsidRPr="00155974">
        <w:rPr>
          <w:b/>
        </w:rPr>
        <w:t>apping of E</w:t>
      </w:r>
      <w:r>
        <w:rPr>
          <w:b/>
        </w:rPr>
        <w:t>U</w:t>
      </w:r>
      <w:r w:rsidRPr="00155974">
        <w:rPr>
          <w:b/>
        </w:rPr>
        <w:t xml:space="preserve"> </w:t>
      </w:r>
      <w:r>
        <w:rPr>
          <w:b/>
        </w:rPr>
        <w:t>c</w:t>
      </w:r>
      <w:r w:rsidRPr="00155974">
        <w:rPr>
          <w:b/>
        </w:rPr>
        <w:t>ompanies</w:t>
      </w:r>
    </w:p>
    <w:p w14:paraId="4615B9BD" w14:textId="59F529CC" w:rsidR="00AF10C5" w:rsidRDefault="00AF10C5" w:rsidP="00AF10C5">
      <w:pPr>
        <w:jc w:val="both"/>
        <w:rPr>
          <w:b/>
        </w:rPr>
      </w:pPr>
    </w:p>
    <w:p w14:paraId="7B2CB826" w14:textId="77777777" w:rsidR="00AF10C5" w:rsidRPr="00D977D8" w:rsidRDefault="00AF10C5" w:rsidP="00AF10C5">
      <w:pPr>
        <w:jc w:val="both"/>
        <w:rPr>
          <w:b/>
        </w:rPr>
      </w:pPr>
      <w:r>
        <w:rPr>
          <w:b/>
        </w:rPr>
        <w:t>A m</w:t>
      </w:r>
      <w:r w:rsidRPr="00155974">
        <w:rPr>
          <w:b/>
        </w:rPr>
        <w:t>apping of E</w:t>
      </w:r>
      <w:r>
        <w:rPr>
          <w:b/>
        </w:rPr>
        <w:t>U</w:t>
      </w:r>
      <w:r w:rsidRPr="00155974">
        <w:rPr>
          <w:b/>
        </w:rPr>
        <w:t xml:space="preserve"> </w:t>
      </w:r>
      <w:r>
        <w:rPr>
          <w:b/>
        </w:rPr>
        <w:t>c</w:t>
      </w:r>
      <w:r w:rsidRPr="00155974">
        <w:rPr>
          <w:b/>
        </w:rPr>
        <w:t>ompanies</w:t>
      </w:r>
      <w:r>
        <w:rPr>
          <w:b/>
        </w:rPr>
        <w:t xml:space="preserve"> was conducted in 2019 at the request of the EU delegation to Rwanda:</w:t>
      </w:r>
    </w:p>
    <w:p w14:paraId="7DA1764C" w14:textId="77777777" w:rsidR="00AF10C5" w:rsidRPr="009D4D25" w:rsidRDefault="00AF10C5" w:rsidP="00AF10C5">
      <w:pPr>
        <w:jc w:val="both"/>
        <w:rPr>
          <w:b/>
        </w:rPr>
      </w:pPr>
    </w:p>
    <w:p w14:paraId="36444269" w14:textId="77777777" w:rsidR="00AF10C5" w:rsidRPr="009D4D25" w:rsidRDefault="00AF10C5" w:rsidP="00AF10C5">
      <w:pPr>
        <w:numPr>
          <w:ilvl w:val="0"/>
          <w:numId w:val="4"/>
        </w:numPr>
        <w:jc w:val="both"/>
      </w:pPr>
      <w:r w:rsidRPr="009D4D25">
        <w:rPr>
          <w:lang w:val="en-US"/>
        </w:rPr>
        <w:t xml:space="preserve">Number of EU businesses active in Rwanda is between </w:t>
      </w:r>
      <w:r w:rsidRPr="009D4D25">
        <w:rPr>
          <w:b/>
          <w:bCs/>
          <w:lang w:val="en-US"/>
        </w:rPr>
        <w:t>150 and 200</w:t>
      </w:r>
    </w:p>
    <w:p w14:paraId="73B49946" w14:textId="77777777" w:rsidR="00AF10C5" w:rsidRPr="009D4D25" w:rsidRDefault="00AF10C5" w:rsidP="00AF10C5">
      <w:pPr>
        <w:numPr>
          <w:ilvl w:val="0"/>
          <w:numId w:val="4"/>
        </w:numPr>
        <w:jc w:val="both"/>
      </w:pPr>
      <w:r w:rsidRPr="009D4D25">
        <w:rPr>
          <w:lang w:val="en-US"/>
        </w:rPr>
        <w:t xml:space="preserve">EU share of total foreign private capital flows in Rwanda has increased from 11,9% in 2015 to </w:t>
      </w:r>
      <w:r w:rsidRPr="009D4D25">
        <w:rPr>
          <w:b/>
          <w:bCs/>
          <w:lang w:val="en-US"/>
        </w:rPr>
        <w:t xml:space="preserve">20,6% in 2017 </w:t>
      </w:r>
    </w:p>
    <w:p w14:paraId="7268F82E" w14:textId="77777777" w:rsidR="00AF10C5" w:rsidRPr="009D4D25" w:rsidRDefault="00AF10C5" w:rsidP="00AF10C5">
      <w:pPr>
        <w:numPr>
          <w:ilvl w:val="0"/>
          <w:numId w:val="4"/>
        </w:numPr>
        <w:jc w:val="both"/>
      </w:pPr>
      <w:r w:rsidRPr="009D4D25">
        <w:rPr>
          <w:lang w:val="en-US"/>
        </w:rPr>
        <w:t>The largest EU investment stocks in Rwanda come from the Netherlands, UK, Luxembourg and Germany</w:t>
      </w:r>
    </w:p>
    <w:p w14:paraId="4005F053" w14:textId="77777777" w:rsidR="00AF10C5" w:rsidRPr="009D4D25" w:rsidRDefault="00AF10C5" w:rsidP="00AF10C5">
      <w:pPr>
        <w:numPr>
          <w:ilvl w:val="0"/>
          <w:numId w:val="4"/>
        </w:numPr>
        <w:jc w:val="both"/>
      </w:pPr>
      <w:r w:rsidRPr="009D4D25">
        <w:rPr>
          <w:lang w:val="en-US"/>
        </w:rPr>
        <w:t xml:space="preserve">Companies receiving EU investment contributed to </w:t>
      </w:r>
      <w:r w:rsidRPr="009D4D25">
        <w:rPr>
          <w:b/>
          <w:bCs/>
          <w:lang w:val="en-US"/>
        </w:rPr>
        <w:t xml:space="preserve">11% of the GDP </w:t>
      </w:r>
      <w:r w:rsidRPr="009D4D25">
        <w:rPr>
          <w:lang w:val="en-US"/>
        </w:rPr>
        <w:t>in 2017</w:t>
      </w:r>
    </w:p>
    <w:p w14:paraId="3EE1847B" w14:textId="77777777" w:rsidR="00AF10C5" w:rsidRPr="009D4D25" w:rsidRDefault="00AF10C5" w:rsidP="00AF10C5">
      <w:pPr>
        <w:numPr>
          <w:ilvl w:val="0"/>
          <w:numId w:val="4"/>
        </w:numPr>
        <w:jc w:val="both"/>
      </w:pPr>
      <w:r w:rsidRPr="009D4D25">
        <w:rPr>
          <w:lang w:val="en-US"/>
        </w:rPr>
        <w:t>EU is one of the major trade partners of Rwanda (</w:t>
      </w:r>
      <w:r w:rsidRPr="009D4D25">
        <w:rPr>
          <w:b/>
          <w:bCs/>
          <w:lang w:val="en-US"/>
        </w:rPr>
        <w:t>16% of exports go to Europe, 17% of imports come from Europe</w:t>
      </w:r>
      <w:r w:rsidRPr="009D4D25">
        <w:rPr>
          <w:lang w:val="en-US"/>
        </w:rPr>
        <w:t>)</w:t>
      </w:r>
    </w:p>
    <w:p w14:paraId="6CA444D6" w14:textId="77777777" w:rsidR="00AF10C5" w:rsidRPr="009D4D25" w:rsidRDefault="00AF10C5" w:rsidP="00AF10C5">
      <w:pPr>
        <w:numPr>
          <w:ilvl w:val="0"/>
          <w:numId w:val="4"/>
        </w:numPr>
        <w:jc w:val="both"/>
      </w:pPr>
      <w:r w:rsidRPr="009D4D25">
        <w:rPr>
          <w:lang w:val="en-US"/>
        </w:rPr>
        <w:t xml:space="preserve">The total number of jobs generated by businesses recipient of EU capital is </w:t>
      </w:r>
      <w:r>
        <w:rPr>
          <w:lang w:val="en-US"/>
        </w:rPr>
        <w:t xml:space="preserve">around </w:t>
      </w:r>
      <w:r w:rsidRPr="009D4D25">
        <w:rPr>
          <w:lang w:val="en-US"/>
        </w:rPr>
        <w:t>5</w:t>
      </w:r>
      <w:r>
        <w:rPr>
          <w:lang w:val="en-US"/>
        </w:rPr>
        <w:t>0,000</w:t>
      </w:r>
      <w:r w:rsidRPr="009D4D25">
        <w:rPr>
          <w:lang w:val="en-US"/>
        </w:rPr>
        <w:t xml:space="preserve"> (out of a total 3,</w:t>
      </w:r>
      <w:r>
        <w:rPr>
          <w:lang w:val="en-US"/>
        </w:rPr>
        <w:t>2</w:t>
      </w:r>
      <w:r w:rsidRPr="009D4D25">
        <w:rPr>
          <w:lang w:val="en-US"/>
        </w:rPr>
        <w:t xml:space="preserve"> million people employed in Rwanda), accounting for </w:t>
      </w:r>
      <w:r w:rsidRPr="009D4D25">
        <w:rPr>
          <w:b/>
          <w:bCs/>
          <w:lang w:val="en-US"/>
        </w:rPr>
        <w:t>74,5% of jobs generated by all companies receiving foreign private capital in Rwanda</w:t>
      </w:r>
    </w:p>
    <w:p w14:paraId="2D51572B" w14:textId="735F62AF" w:rsidR="00AF10C5" w:rsidRPr="00AF10C5" w:rsidRDefault="00AF10C5" w:rsidP="00AF10C5">
      <w:pPr>
        <w:pStyle w:val="ListParagraph"/>
        <w:numPr>
          <w:ilvl w:val="0"/>
          <w:numId w:val="4"/>
        </w:numPr>
        <w:jc w:val="both"/>
      </w:pPr>
      <w:r w:rsidRPr="009D4D25">
        <w:t>Foreign Direct Investment now represents 4% of GDP of Rwanda, with the m</w:t>
      </w:r>
      <w:r>
        <w:t>ajority originating from the EU</w:t>
      </w:r>
    </w:p>
    <w:p w14:paraId="5D4EFDB6" w14:textId="2D59CADD" w:rsidR="00AF10C5" w:rsidRPr="00AF10C5" w:rsidRDefault="00AF10C5" w:rsidP="00AF10C5">
      <w:pPr>
        <w:jc w:val="both"/>
        <w:rPr>
          <w:b/>
        </w:rPr>
      </w:pPr>
    </w:p>
    <w:p w14:paraId="0F0D4C7F" w14:textId="439D7F68" w:rsidR="00541B70" w:rsidRDefault="00A42550" w:rsidP="00541B70">
      <w:pPr>
        <w:pStyle w:val="ListParagraph"/>
        <w:numPr>
          <w:ilvl w:val="0"/>
          <w:numId w:val="12"/>
        </w:numPr>
        <w:jc w:val="both"/>
        <w:rPr>
          <w:b/>
        </w:rPr>
      </w:pPr>
      <w:r>
        <w:rPr>
          <w:b/>
        </w:rPr>
        <w:t>D</w:t>
      </w:r>
      <w:r w:rsidR="00541B70" w:rsidRPr="009D4D25">
        <w:rPr>
          <w:b/>
        </w:rPr>
        <w:t>iplomacy</w:t>
      </w:r>
    </w:p>
    <w:p w14:paraId="0C3C646E" w14:textId="77777777" w:rsidR="00A42550" w:rsidRPr="00DA4A20" w:rsidRDefault="00A42550" w:rsidP="00A42550">
      <w:pPr>
        <w:jc w:val="both"/>
        <w:rPr>
          <w:b/>
        </w:rPr>
      </w:pPr>
    </w:p>
    <w:p w14:paraId="03E57D99" w14:textId="77777777" w:rsidR="00DA4A20" w:rsidRDefault="00C7127C" w:rsidP="00A42550">
      <w:pPr>
        <w:jc w:val="both"/>
      </w:pPr>
      <w:r w:rsidRPr="00DA4A20">
        <w:t xml:space="preserve">EBCR is well suited to provide feedback and analysis from a practical entrepreneurial perspective on possible issues in the business environment. This </w:t>
      </w:r>
      <w:r w:rsidR="00DA4A20">
        <w:t>input</w:t>
      </w:r>
      <w:r w:rsidRPr="00DA4A20">
        <w:t xml:space="preserve"> is </w:t>
      </w:r>
      <w:r w:rsidR="00DA4A20">
        <w:t>crucial</w:t>
      </w:r>
      <w:r w:rsidRPr="00DA4A20">
        <w:t xml:space="preserve"> </w:t>
      </w:r>
      <w:r w:rsidR="00DA4A20">
        <w:t xml:space="preserve">for the EU agenda in the </w:t>
      </w:r>
      <w:r w:rsidR="00DA4A20" w:rsidRPr="00DA4A20">
        <w:t xml:space="preserve">dialogue with the local authorities and </w:t>
      </w:r>
      <w:r w:rsidR="00DA4A20">
        <w:t>the</w:t>
      </w:r>
      <w:r w:rsidR="00DA4A20" w:rsidRPr="00DA4A20">
        <w:t xml:space="preserve"> Government </w:t>
      </w:r>
      <w:r w:rsidR="00DA4A20">
        <w:t xml:space="preserve">in order </w:t>
      </w:r>
      <w:r w:rsidR="00DA4A20" w:rsidRPr="00DA4A20">
        <w:t xml:space="preserve">to adopt policies adequate to secure </w:t>
      </w:r>
      <w:proofErr w:type="gramStart"/>
      <w:r w:rsidR="00DA4A20" w:rsidRPr="00DA4A20">
        <w:t>private-sector</w:t>
      </w:r>
      <w:proofErr w:type="gramEnd"/>
      <w:r w:rsidR="00DA4A20" w:rsidRPr="00DA4A20">
        <w:t xml:space="preserve"> led development. </w:t>
      </w:r>
    </w:p>
    <w:p w14:paraId="160FFB73" w14:textId="77777777" w:rsidR="00DA4A20" w:rsidRDefault="00DA4A20" w:rsidP="00A42550">
      <w:pPr>
        <w:jc w:val="both"/>
      </w:pPr>
    </w:p>
    <w:p w14:paraId="7E2E2C56" w14:textId="77777777" w:rsidR="00541B70" w:rsidRPr="004C68F4" w:rsidRDefault="00DA4A20" w:rsidP="004C68F4">
      <w:pPr>
        <w:jc w:val="both"/>
      </w:pPr>
      <w:r w:rsidRPr="009D4D25">
        <w:rPr>
          <w:rFonts w:asciiTheme="minorHAnsi" w:eastAsia="Times New Roman" w:hAnsiTheme="minorHAnsi" w:cstheme="minorHAnsi"/>
          <w:lang w:eastAsia="en-GB"/>
        </w:rPr>
        <w:t xml:space="preserve">Supporting EBCR is </w:t>
      </w:r>
      <w:r>
        <w:rPr>
          <w:rFonts w:asciiTheme="minorHAnsi" w:eastAsia="Times New Roman" w:hAnsiTheme="minorHAnsi" w:cstheme="minorHAnsi"/>
          <w:lang w:eastAsia="en-GB"/>
        </w:rPr>
        <w:t xml:space="preserve">as well </w:t>
      </w:r>
      <w:r w:rsidRPr="009D4D25">
        <w:rPr>
          <w:rFonts w:asciiTheme="minorHAnsi" w:eastAsia="Times New Roman" w:hAnsiTheme="minorHAnsi" w:cstheme="minorHAnsi"/>
          <w:lang w:eastAsia="en-GB"/>
        </w:rPr>
        <w:t>one of the main tools to promote</w:t>
      </w:r>
      <w:r>
        <w:rPr>
          <w:rFonts w:asciiTheme="minorHAnsi" w:eastAsia="Times New Roman" w:hAnsiTheme="minorHAnsi" w:cstheme="minorHAnsi"/>
          <w:lang w:eastAsia="en-GB"/>
        </w:rPr>
        <w:t xml:space="preserve"> t</w:t>
      </w:r>
      <w:r w:rsidRPr="009D4D25">
        <w:rPr>
          <w:rFonts w:asciiTheme="minorHAnsi" w:eastAsia="Times New Roman" w:hAnsiTheme="minorHAnsi" w:cstheme="minorHAnsi"/>
          <w:lang w:eastAsia="en-GB"/>
        </w:rPr>
        <w:t xml:space="preserve">he </w:t>
      </w:r>
      <w:r w:rsidRPr="004C68F4">
        <w:rPr>
          <w:rFonts w:asciiTheme="minorHAnsi" w:eastAsia="Times New Roman" w:hAnsiTheme="minorHAnsi" w:cstheme="minorHAnsi"/>
          <w:b/>
          <w:lang w:eastAsia="en-GB"/>
        </w:rPr>
        <w:t>EU Economic Diplomacy (EED)</w:t>
      </w:r>
      <w:r w:rsidR="004C68F4">
        <w:rPr>
          <w:rFonts w:asciiTheme="minorHAnsi" w:eastAsia="Times New Roman" w:hAnsiTheme="minorHAnsi" w:cstheme="minorHAnsi"/>
          <w:lang w:eastAsia="en-GB"/>
        </w:rPr>
        <w:t xml:space="preserve">, which </w:t>
      </w:r>
      <w:r w:rsidR="00541B70" w:rsidRPr="009D4D25">
        <w:rPr>
          <w:rFonts w:asciiTheme="minorHAnsi" w:eastAsia="Times New Roman" w:hAnsiTheme="minorHAnsi" w:cstheme="minorHAnsi"/>
          <w:lang w:eastAsia="en-GB"/>
        </w:rPr>
        <w:t>refers to the use of political influence and policy measures to:</w:t>
      </w:r>
    </w:p>
    <w:p w14:paraId="4C67DCF9" w14:textId="77777777" w:rsidR="00541B70" w:rsidRPr="004C68F4" w:rsidRDefault="00541B70" w:rsidP="00A66857">
      <w:pPr>
        <w:numPr>
          <w:ilvl w:val="0"/>
          <w:numId w:val="10"/>
        </w:numPr>
        <w:spacing w:before="100" w:beforeAutospacing="1" w:after="100" w:afterAutospacing="1"/>
        <w:jc w:val="both"/>
        <w:rPr>
          <w:rFonts w:asciiTheme="minorHAnsi" w:eastAsia="Times New Roman" w:hAnsiTheme="minorHAnsi" w:cstheme="minorHAnsi"/>
          <w:lang w:eastAsia="en-GB"/>
        </w:rPr>
      </w:pPr>
      <w:r w:rsidRPr="009D4D25">
        <w:rPr>
          <w:rFonts w:asciiTheme="minorHAnsi" w:eastAsia="Times New Roman" w:hAnsiTheme="minorHAnsi" w:cstheme="minorHAnsi"/>
          <w:lang w:eastAsia="en-GB"/>
        </w:rPr>
        <w:t>Support European economic interests in Rwanda and the wor</w:t>
      </w:r>
      <w:r w:rsidR="004C68F4">
        <w:rPr>
          <w:rFonts w:asciiTheme="minorHAnsi" w:eastAsia="Times New Roman" w:hAnsiTheme="minorHAnsi" w:cstheme="minorHAnsi"/>
          <w:lang w:eastAsia="en-GB"/>
        </w:rPr>
        <w:t xml:space="preserve">ld, advocating for the European </w:t>
      </w:r>
      <w:r w:rsidRPr="004C68F4">
        <w:rPr>
          <w:rFonts w:asciiTheme="minorHAnsi" w:eastAsia="Times New Roman" w:hAnsiTheme="minorHAnsi" w:cstheme="minorHAnsi"/>
          <w:lang w:eastAsia="en-GB"/>
        </w:rPr>
        <w:t>interest and improving th</w:t>
      </w:r>
      <w:r w:rsidR="00A66857">
        <w:rPr>
          <w:rFonts w:asciiTheme="minorHAnsi" w:eastAsia="Times New Roman" w:hAnsiTheme="minorHAnsi" w:cstheme="minorHAnsi"/>
          <w:lang w:eastAsia="en-GB"/>
        </w:rPr>
        <w:t>e visibility or image of the EU</w:t>
      </w:r>
    </w:p>
    <w:p w14:paraId="47950E81" w14:textId="77777777" w:rsidR="00541B70" w:rsidRPr="009D4D25" w:rsidRDefault="00262BF1" w:rsidP="00A66857">
      <w:pPr>
        <w:numPr>
          <w:ilvl w:val="0"/>
          <w:numId w:val="10"/>
        </w:numPr>
        <w:spacing w:before="100" w:beforeAutospacing="1" w:after="100" w:afterAutospacing="1"/>
        <w:jc w:val="both"/>
        <w:rPr>
          <w:rFonts w:asciiTheme="minorHAnsi" w:eastAsia="Times New Roman" w:hAnsiTheme="minorHAnsi" w:cstheme="minorHAnsi"/>
          <w:lang w:eastAsia="en-GB"/>
        </w:rPr>
      </w:pPr>
      <w:r>
        <w:rPr>
          <w:rFonts w:asciiTheme="minorHAnsi" w:eastAsia="Times New Roman" w:hAnsiTheme="minorHAnsi" w:cstheme="minorHAnsi"/>
          <w:lang w:eastAsia="en-GB"/>
        </w:rPr>
        <w:t>Reduce</w:t>
      </w:r>
      <w:r w:rsidR="00541B70" w:rsidRPr="009D4D25">
        <w:rPr>
          <w:rFonts w:asciiTheme="minorHAnsi" w:eastAsia="Times New Roman" w:hAnsiTheme="minorHAnsi" w:cstheme="minorHAnsi"/>
          <w:lang w:eastAsia="en-GB"/>
        </w:rPr>
        <w:t xml:space="preserve"> barriers to trade and negotiating bilateral an</w:t>
      </w:r>
      <w:r w:rsidR="00A66857">
        <w:rPr>
          <w:rFonts w:asciiTheme="minorHAnsi" w:eastAsia="Times New Roman" w:hAnsiTheme="minorHAnsi" w:cstheme="minorHAnsi"/>
          <w:lang w:eastAsia="en-GB"/>
        </w:rPr>
        <w:t>d multilateral trade agreements</w:t>
      </w:r>
    </w:p>
    <w:p w14:paraId="3C5A40BB" w14:textId="77777777" w:rsidR="00541B70" w:rsidRPr="009D4D25" w:rsidRDefault="00262BF1" w:rsidP="00A66857">
      <w:pPr>
        <w:numPr>
          <w:ilvl w:val="0"/>
          <w:numId w:val="10"/>
        </w:numPr>
        <w:spacing w:before="100" w:beforeAutospacing="1" w:after="100" w:afterAutospacing="1"/>
        <w:jc w:val="both"/>
        <w:rPr>
          <w:rFonts w:asciiTheme="minorHAnsi" w:eastAsia="Times New Roman" w:hAnsiTheme="minorHAnsi" w:cstheme="minorHAnsi"/>
          <w:lang w:eastAsia="en-GB"/>
        </w:rPr>
      </w:pPr>
      <w:r>
        <w:rPr>
          <w:rFonts w:asciiTheme="minorHAnsi" w:eastAsia="Times New Roman" w:hAnsiTheme="minorHAnsi" w:cstheme="minorHAnsi"/>
          <w:lang w:eastAsia="en-GB"/>
        </w:rPr>
        <w:t>Support</w:t>
      </w:r>
      <w:r w:rsidR="00541B70" w:rsidRPr="009D4D25">
        <w:rPr>
          <w:rFonts w:asciiTheme="minorHAnsi" w:eastAsia="Times New Roman" w:hAnsiTheme="minorHAnsi" w:cstheme="minorHAnsi"/>
          <w:lang w:eastAsia="en-GB"/>
        </w:rPr>
        <w:t xml:space="preserve"> European companies in internationa</w:t>
      </w:r>
      <w:r w:rsidR="00A66857">
        <w:rPr>
          <w:rFonts w:asciiTheme="minorHAnsi" w:eastAsia="Times New Roman" w:hAnsiTheme="minorHAnsi" w:cstheme="minorHAnsi"/>
          <w:lang w:eastAsia="en-GB"/>
        </w:rPr>
        <w:t>lising to Rwanda and</w:t>
      </w:r>
      <w:r w:rsidR="00155974">
        <w:rPr>
          <w:rFonts w:asciiTheme="minorHAnsi" w:eastAsia="Times New Roman" w:hAnsiTheme="minorHAnsi" w:cstheme="minorHAnsi"/>
          <w:lang w:eastAsia="en-GB"/>
        </w:rPr>
        <w:t xml:space="preserve"> to</w:t>
      </w:r>
      <w:r w:rsidR="00A66857">
        <w:rPr>
          <w:rFonts w:asciiTheme="minorHAnsi" w:eastAsia="Times New Roman" w:hAnsiTheme="minorHAnsi" w:cstheme="minorHAnsi"/>
          <w:lang w:eastAsia="en-GB"/>
        </w:rPr>
        <w:t xml:space="preserve"> the world</w:t>
      </w:r>
    </w:p>
    <w:p w14:paraId="6D7225EA" w14:textId="77777777" w:rsidR="009E2D13" w:rsidRPr="004C68F4" w:rsidRDefault="00541B70" w:rsidP="004C68F4">
      <w:pPr>
        <w:spacing w:before="100" w:beforeAutospacing="1" w:after="100" w:afterAutospacing="1"/>
        <w:jc w:val="both"/>
        <w:rPr>
          <w:rFonts w:asciiTheme="minorHAnsi" w:eastAsia="Times New Roman" w:hAnsiTheme="minorHAnsi" w:cstheme="minorHAnsi"/>
          <w:lang w:eastAsia="en-GB"/>
        </w:rPr>
      </w:pPr>
      <w:r w:rsidRPr="009D4D25">
        <w:rPr>
          <w:rFonts w:asciiTheme="minorHAnsi" w:eastAsia="Times New Roman" w:hAnsiTheme="minorHAnsi" w:cstheme="minorHAnsi"/>
          <w:lang w:eastAsia="en-GB"/>
        </w:rPr>
        <w:t xml:space="preserve">Only working together, both </w:t>
      </w:r>
      <w:r w:rsidR="00A66857">
        <w:rPr>
          <w:rFonts w:asciiTheme="minorHAnsi" w:eastAsia="Times New Roman" w:hAnsiTheme="minorHAnsi" w:cstheme="minorHAnsi"/>
          <w:lang w:eastAsia="en-GB"/>
        </w:rPr>
        <w:t>EU and EBCR</w:t>
      </w:r>
      <w:r w:rsidRPr="009D4D25">
        <w:rPr>
          <w:rFonts w:asciiTheme="minorHAnsi" w:eastAsia="Times New Roman" w:hAnsiTheme="minorHAnsi" w:cstheme="minorHAnsi"/>
          <w:lang w:eastAsia="en-GB"/>
        </w:rPr>
        <w:t xml:space="preserve"> can achieve </w:t>
      </w:r>
      <w:r w:rsidRPr="004C68F4">
        <w:rPr>
          <w:rFonts w:asciiTheme="minorHAnsi" w:eastAsia="Times New Roman" w:hAnsiTheme="minorHAnsi" w:cstheme="minorHAnsi"/>
          <w:b/>
          <w:lang w:eastAsia="en-GB"/>
        </w:rPr>
        <w:t>the principal goal of EED</w:t>
      </w:r>
      <w:r w:rsidRPr="009D4D25">
        <w:rPr>
          <w:rFonts w:asciiTheme="minorHAnsi" w:eastAsia="Times New Roman" w:hAnsiTheme="minorHAnsi" w:cstheme="minorHAnsi"/>
          <w:lang w:eastAsia="en-GB"/>
        </w:rPr>
        <w:t xml:space="preserve">, </w:t>
      </w:r>
      <w:proofErr w:type="gramStart"/>
      <w:r w:rsidRPr="009D4D25">
        <w:rPr>
          <w:rFonts w:asciiTheme="minorHAnsi" w:eastAsia="Times New Roman" w:hAnsiTheme="minorHAnsi" w:cstheme="minorHAnsi"/>
          <w:lang w:eastAsia="en-GB"/>
        </w:rPr>
        <w:t>i.e.</w:t>
      </w:r>
      <w:proofErr w:type="gramEnd"/>
      <w:r w:rsidRPr="009D4D25">
        <w:rPr>
          <w:rFonts w:asciiTheme="minorHAnsi" w:eastAsia="Times New Roman" w:hAnsiTheme="minorHAnsi" w:cstheme="minorHAnsi"/>
          <w:lang w:eastAsia="en-GB"/>
        </w:rPr>
        <w:t xml:space="preserve"> support EU businesses, especially SMEs, to tap into Rwandan market.</w:t>
      </w:r>
    </w:p>
    <w:p w14:paraId="4F2575FF" w14:textId="77777777" w:rsidR="00FF13E3" w:rsidRPr="009D4D25" w:rsidRDefault="000F4BD4" w:rsidP="00BA663B">
      <w:pPr>
        <w:pStyle w:val="ListParagraph"/>
        <w:numPr>
          <w:ilvl w:val="0"/>
          <w:numId w:val="12"/>
        </w:numPr>
        <w:jc w:val="both"/>
        <w:rPr>
          <w:b/>
        </w:rPr>
      </w:pPr>
      <w:r w:rsidRPr="009D4D25">
        <w:rPr>
          <w:b/>
        </w:rPr>
        <w:t>F</w:t>
      </w:r>
      <w:r w:rsidR="00D40597" w:rsidRPr="009D4D25">
        <w:rPr>
          <w:b/>
        </w:rPr>
        <w:t>acilitation</w:t>
      </w:r>
      <w:r w:rsidR="00FF13E3" w:rsidRPr="009D4D25">
        <w:rPr>
          <w:b/>
        </w:rPr>
        <w:t xml:space="preserve"> </w:t>
      </w:r>
      <w:r w:rsidR="009B6559" w:rsidRPr="009D4D25">
        <w:rPr>
          <w:b/>
        </w:rPr>
        <w:t>of</w:t>
      </w:r>
      <w:r w:rsidR="00FF13E3" w:rsidRPr="009D4D25">
        <w:rPr>
          <w:b/>
        </w:rPr>
        <w:t xml:space="preserve"> </w:t>
      </w:r>
      <w:r w:rsidR="00364BE8" w:rsidRPr="009D4D25">
        <w:rPr>
          <w:b/>
        </w:rPr>
        <w:t xml:space="preserve">investment and </w:t>
      </w:r>
      <w:r w:rsidR="00FF13E3" w:rsidRPr="009D4D25">
        <w:rPr>
          <w:b/>
        </w:rPr>
        <w:t xml:space="preserve">trade </w:t>
      </w:r>
    </w:p>
    <w:p w14:paraId="6B2C985E" w14:textId="77777777" w:rsidR="00FF13E3" w:rsidRPr="009D4D25" w:rsidRDefault="00FF13E3" w:rsidP="00FF13E3"/>
    <w:p w14:paraId="28DE3B19" w14:textId="77777777" w:rsidR="00364BE8" w:rsidRPr="009D4D25" w:rsidRDefault="005E0B98" w:rsidP="00FD1BD8">
      <w:pPr>
        <w:jc w:val="both"/>
      </w:pPr>
      <w:r w:rsidRPr="009D4D25">
        <w:t xml:space="preserve">European Business Chamber of Rwanda (EBCR) </w:t>
      </w:r>
      <w:r w:rsidR="00FD1BD8" w:rsidRPr="009D4D25">
        <w:t>serves as an entry point for new potential EU investors</w:t>
      </w:r>
      <w:r w:rsidR="007E763A" w:rsidRPr="009D4D25">
        <w:t xml:space="preserve">, </w:t>
      </w:r>
      <w:r w:rsidR="00144F1F" w:rsidRPr="009D4D25">
        <w:t xml:space="preserve">helps to </w:t>
      </w:r>
      <w:r w:rsidR="006E0699" w:rsidRPr="009D4D25">
        <w:t>facilitate</w:t>
      </w:r>
      <w:r w:rsidR="007E763A" w:rsidRPr="009D4D25">
        <w:t xml:space="preserve"> more trade from and to Rwanda, and </w:t>
      </w:r>
      <w:r w:rsidR="006E0699" w:rsidRPr="009D4D25">
        <w:t>improve</w:t>
      </w:r>
      <w:r w:rsidR="007E763A" w:rsidRPr="009D4D25">
        <w:t xml:space="preserve"> the investment climate. </w:t>
      </w:r>
      <w:r w:rsidR="00144F1F" w:rsidRPr="009D4D25">
        <w:t xml:space="preserve">EUDEL </w:t>
      </w:r>
      <w:r w:rsidR="00FB5D76" w:rsidRPr="009D4D25">
        <w:t>is contact</w:t>
      </w:r>
      <w:r w:rsidR="007E763A" w:rsidRPr="009D4D25">
        <w:t xml:space="preserve"> with EBCR</w:t>
      </w:r>
      <w:r w:rsidR="00FB5D76" w:rsidRPr="009D4D25">
        <w:t xml:space="preserve"> on a permanent basis</w:t>
      </w:r>
      <w:r w:rsidR="007E763A" w:rsidRPr="009D4D25">
        <w:t xml:space="preserve"> to better tailor its interventions to the private sector (for instance in regard to TVET) and obtain first-hand information on how businesses operate in the country, and the constraints they are facing. </w:t>
      </w:r>
    </w:p>
    <w:p w14:paraId="708DE5C0" w14:textId="77777777" w:rsidR="007E763A" w:rsidRPr="009D4D25" w:rsidRDefault="007E763A" w:rsidP="004C4350"/>
    <w:p w14:paraId="0EB3F562" w14:textId="77777777" w:rsidR="007E763A" w:rsidRPr="005E10EB" w:rsidRDefault="00A5687C" w:rsidP="004C4350">
      <w:pPr>
        <w:rPr>
          <w:b/>
        </w:rPr>
      </w:pPr>
      <w:r w:rsidRPr="005E10EB">
        <w:rPr>
          <w:b/>
        </w:rPr>
        <w:t xml:space="preserve">Areas of common interest to advance </w:t>
      </w:r>
      <w:r w:rsidR="002949EB" w:rsidRPr="005E10EB">
        <w:rPr>
          <w:b/>
        </w:rPr>
        <w:t xml:space="preserve">EU </w:t>
      </w:r>
      <w:r w:rsidRPr="005E10EB">
        <w:rPr>
          <w:b/>
        </w:rPr>
        <w:t>investment</w:t>
      </w:r>
      <w:r w:rsidR="00261970" w:rsidRPr="005E10EB">
        <w:rPr>
          <w:b/>
        </w:rPr>
        <w:t xml:space="preserve"> </w:t>
      </w:r>
      <w:r w:rsidR="009B6559" w:rsidRPr="005E10EB">
        <w:rPr>
          <w:b/>
        </w:rPr>
        <w:t>in Rwanda</w:t>
      </w:r>
    </w:p>
    <w:p w14:paraId="28D9632E" w14:textId="77777777" w:rsidR="006E0699" w:rsidRPr="009D4D25" w:rsidRDefault="006E0699" w:rsidP="004C4350"/>
    <w:p w14:paraId="36BEA67E" w14:textId="77777777" w:rsidR="00336D35" w:rsidRPr="009D4D25" w:rsidRDefault="00336D35" w:rsidP="00913AD3">
      <w:pPr>
        <w:pStyle w:val="ListParagraph"/>
        <w:numPr>
          <w:ilvl w:val="0"/>
          <w:numId w:val="1"/>
        </w:numPr>
        <w:jc w:val="both"/>
      </w:pPr>
      <w:r w:rsidRPr="009D4D25">
        <w:rPr>
          <w:i/>
        </w:rPr>
        <w:lastRenderedPageBreak/>
        <w:t>Starter Kit</w:t>
      </w:r>
      <w:r w:rsidRPr="009D4D25">
        <w:t>: target new potential investors interested to establish a business in Rwanda</w:t>
      </w:r>
      <w:r w:rsidR="00913AD3" w:rsidRPr="009D4D25">
        <w:t xml:space="preserve">, and provide them with comprehensive information to start </w:t>
      </w:r>
      <w:proofErr w:type="gramStart"/>
      <w:r w:rsidR="00913AD3" w:rsidRPr="009D4D25">
        <w:t>operating;</w:t>
      </w:r>
      <w:proofErr w:type="gramEnd"/>
    </w:p>
    <w:p w14:paraId="4B05EDE3" w14:textId="77777777" w:rsidR="006E0699" w:rsidRPr="009D4D25" w:rsidRDefault="0091228A" w:rsidP="008236C2">
      <w:pPr>
        <w:pStyle w:val="ListParagraph"/>
        <w:numPr>
          <w:ilvl w:val="0"/>
          <w:numId w:val="1"/>
        </w:numPr>
        <w:jc w:val="both"/>
      </w:pPr>
      <w:r w:rsidRPr="009D4D25">
        <w:rPr>
          <w:i/>
        </w:rPr>
        <w:t>I</w:t>
      </w:r>
      <w:r w:rsidR="006E0699" w:rsidRPr="009D4D25">
        <w:rPr>
          <w:i/>
        </w:rPr>
        <w:t>nvestor after-care</w:t>
      </w:r>
      <w:r w:rsidR="0070304B" w:rsidRPr="009D4D25">
        <w:t>:</w:t>
      </w:r>
      <w:r w:rsidR="006E0699" w:rsidRPr="009D4D25">
        <w:t xml:space="preserve"> streamline and consolidate services </w:t>
      </w:r>
      <w:r w:rsidR="00913AD3" w:rsidRPr="009D4D25">
        <w:t>together with</w:t>
      </w:r>
      <w:r w:rsidR="006E0699" w:rsidRPr="009D4D25">
        <w:t xml:space="preserve"> th</w:t>
      </w:r>
      <w:r w:rsidR="00731F4A" w:rsidRPr="009D4D25">
        <w:t>e Rwanda Development Board</w:t>
      </w:r>
    </w:p>
    <w:p w14:paraId="3D840D8F" w14:textId="77777777" w:rsidR="005362E4" w:rsidRPr="009D4D25" w:rsidRDefault="0070304B" w:rsidP="008236C2">
      <w:pPr>
        <w:pStyle w:val="ListParagraph"/>
        <w:numPr>
          <w:ilvl w:val="0"/>
          <w:numId w:val="1"/>
        </w:numPr>
        <w:jc w:val="both"/>
      </w:pPr>
      <w:r w:rsidRPr="009D4D25">
        <w:rPr>
          <w:i/>
          <w:iCs/>
        </w:rPr>
        <w:t>T</w:t>
      </w:r>
      <w:r w:rsidR="005362E4" w:rsidRPr="009D4D25">
        <w:rPr>
          <w:i/>
          <w:iCs/>
        </w:rPr>
        <w:t>r</w:t>
      </w:r>
      <w:r w:rsidRPr="009D4D25">
        <w:rPr>
          <w:i/>
          <w:iCs/>
        </w:rPr>
        <w:t>ade fairs and trade delegations</w:t>
      </w:r>
      <w:r w:rsidRPr="009D4D25">
        <w:rPr>
          <w:iCs/>
        </w:rPr>
        <w:t>:</w:t>
      </w:r>
      <w:r w:rsidR="00336D35" w:rsidRPr="009D4D25">
        <w:rPr>
          <w:iCs/>
        </w:rPr>
        <w:t xml:space="preserve"> organise</w:t>
      </w:r>
      <w:r w:rsidR="005362E4" w:rsidRPr="009D4D25">
        <w:rPr>
          <w:iCs/>
        </w:rPr>
        <w:t xml:space="preserve"> tailored meetings for </w:t>
      </w:r>
      <w:r w:rsidR="00336D35" w:rsidRPr="009D4D25">
        <w:rPr>
          <w:iCs/>
        </w:rPr>
        <w:t>investors</w:t>
      </w:r>
      <w:r w:rsidR="005362E4" w:rsidRPr="009D4D25">
        <w:rPr>
          <w:iCs/>
        </w:rPr>
        <w:t xml:space="preserve"> </w:t>
      </w:r>
      <w:r w:rsidR="00336D35" w:rsidRPr="009D4D25">
        <w:rPr>
          <w:iCs/>
        </w:rPr>
        <w:t xml:space="preserve">coming to Rwanda </w:t>
      </w:r>
      <w:r w:rsidR="005362E4" w:rsidRPr="009D4D25">
        <w:rPr>
          <w:iCs/>
        </w:rPr>
        <w:t>with relevant authorities and potential business partners</w:t>
      </w:r>
    </w:p>
    <w:p w14:paraId="0E08F69A" w14:textId="77777777" w:rsidR="006E0699" w:rsidRPr="009D4D25" w:rsidRDefault="00336D35" w:rsidP="008236C2">
      <w:pPr>
        <w:pStyle w:val="ListParagraph"/>
        <w:numPr>
          <w:ilvl w:val="0"/>
          <w:numId w:val="1"/>
        </w:numPr>
        <w:jc w:val="both"/>
        <w:rPr>
          <w:iCs/>
        </w:rPr>
      </w:pPr>
      <w:r w:rsidRPr="009D4D25">
        <w:rPr>
          <w:i/>
        </w:rPr>
        <w:t>P</w:t>
      </w:r>
      <w:r w:rsidR="006E0699" w:rsidRPr="009D4D25">
        <w:rPr>
          <w:i/>
        </w:rPr>
        <w:t xml:space="preserve">ublic-private </w:t>
      </w:r>
      <w:r w:rsidR="00261970" w:rsidRPr="009D4D25">
        <w:rPr>
          <w:i/>
        </w:rPr>
        <w:t>dialogue</w:t>
      </w:r>
      <w:r w:rsidRPr="009D4D25">
        <w:rPr>
          <w:iCs/>
        </w:rPr>
        <w:t>: re-energise PPD, wh</w:t>
      </w:r>
      <w:r w:rsidR="00644596" w:rsidRPr="009D4D25">
        <w:rPr>
          <w:iCs/>
        </w:rPr>
        <w:t>ich has been inactive from 2016</w:t>
      </w:r>
    </w:p>
    <w:p w14:paraId="08E928A6" w14:textId="77777777" w:rsidR="007C776A" w:rsidRPr="009D4D25" w:rsidRDefault="00336D35" w:rsidP="008236C2">
      <w:pPr>
        <w:pStyle w:val="ListParagraph"/>
        <w:numPr>
          <w:ilvl w:val="0"/>
          <w:numId w:val="1"/>
        </w:numPr>
        <w:jc w:val="both"/>
      </w:pPr>
      <w:r w:rsidRPr="009D4D25">
        <w:rPr>
          <w:i/>
          <w:iCs/>
        </w:rPr>
        <w:t>C</w:t>
      </w:r>
      <w:r w:rsidR="007C776A" w:rsidRPr="009D4D25">
        <w:rPr>
          <w:i/>
          <w:iCs/>
        </w:rPr>
        <w:t>hambers of commerce in the EU countries</w:t>
      </w:r>
      <w:r w:rsidRPr="009D4D25">
        <w:rPr>
          <w:iCs/>
        </w:rPr>
        <w:t>:</w:t>
      </w:r>
      <w:r w:rsidR="007C776A" w:rsidRPr="009D4D25">
        <w:rPr>
          <w:iCs/>
        </w:rPr>
        <w:t xml:space="preserve"> promote Rwanda as an investment destination</w:t>
      </w:r>
    </w:p>
    <w:p w14:paraId="73C90C58" w14:textId="77777777" w:rsidR="006E0699" w:rsidRPr="009D4D25" w:rsidRDefault="0091228A" w:rsidP="008236C2">
      <w:pPr>
        <w:pStyle w:val="ListParagraph"/>
        <w:numPr>
          <w:ilvl w:val="0"/>
          <w:numId w:val="1"/>
        </w:numPr>
        <w:jc w:val="both"/>
      </w:pPr>
      <w:r w:rsidRPr="009D4D25">
        <w:rPr>
          <w:i/>
        </w:rPr>
        <w:t>C</w:t>
      </w:r>
      <w:r w:rsidR="006E0699" w:rsidRPr="009D4D25">
        <w:rPr>
          <w:i/>
        </w:rPr>
        <w:t>apacity</w:t>
      </w:r>
      <w:r w:rsidRPr="009D4D25">
        <w:rPr>
          <w:i/>
        </w:rPr>
        <w:t>-building</w:t>
      </w:r>
      <w:r w:rsidR="00336D35" w:rsidRPr="009D4D25">
        <w:t>:</w:t>
      </w:r>
      <w:r w:rsidR="006E0699" w:rsidRPr="009D4D25">
        <w:t xml:space="preserve"> </w:t>
      </w:r>
      <w:r w:rsidR="00336D35" w:rsidRPr="009D4D25">
        <w:t>support</w:t>
      </w:r>
      <w:r w:rsidR="006E0699" w:rsidRPr="009D4D25">
        <w:t xml:space="preserve"> relevant Government agencies on contract enforcement, investor (</w:t>
      </w:r>
      <w:r w:rsidR="00644596" w:rsidRPr="009D4D25">
        <w:t>including minority) protection</w:t>
      </w:r>
    </w:p>
    <w:p w14:paraId="02EB73F9" w14:textId="77777777" w:rsidR="00D40597" w:rsidRPr="009D4D25" w:rsidRDefault="00336D35" w:rsidP="008236C2">
      <w:pPr>
        <w:pStyle w:val="ListParagraph"/>
        <w:numPr>
          <w:ilvl w:val="0"/>
          <w:numId w:val="1"/>
        </w:numPr>
        <w:jc w:val="both"/>
      </w:pPr>
      <w:r w:rsidRPr="009D4D25">
        <w:rPr>
          <w:i/>
        </w:rPr>
        <w:t>Mapping EU businesses</w:t>
      </w:r>
      <w:r w:rsidRPr="009D4D25">
        <w:t>: provide</w:t>
      </w:r>
      <w:r w:rsidR="00D40597" w:rsidRPr="009D4D25">
        <w:t xml:space="preserve"> an in-depth analysis of European companies active in Rwanda, their investments, their impact on the economy, society (jobs, training, etc.) and on taxation </w:t>
      </w:r>
      <w:r w:rsidR="00644596" w:rsidRPr="009D4D25">
        <w:t>and sectoral features</w:t>
      </w:r>
    </w:p>
    <w:p w14:paraId="1DCCCF6E" w14:textId="77777777" w:rsidR="006E0699" w:rsidRPr="009D4D25" w:rsidRDefault="00D9423F" w:rsidP="00644596">
      <w:pPr>
        <w:pStyle w:val="ListParagraph"/>
        <w:numPr>
          <w:ilvl w:val="0"/>
          <w:numId w:val="1"/>
        </w:numPr>
        <w:jc w:val="both"/>
      </w:pPr>
      <w:r w:rsidRPr="009D4D25">
        <w:rPr>
          <w:i/>
        </w:rPr>
        <w:t>D</w:t>
      </w:r>
      <w:r w:rsidR="006E0699" w:rsidRPr="009D4D25">
        <w:rPr>
          <w:i/>
        </w:rPr>
        <w:t>ispute resolution</w:t>
      </w:r>
      <w:r w:rsidR="00644596" w:rsidRPr="009D4D25">
        <w:t>: ensure existence of alternative commercial dispute resolution mechanisms.</w:t>
      </w:r>
    </w:p>
    <w:p w14:paraId="553E7CBD" w14:textId="77777777" w:rsidR="00984878" w:rsidRPr="009D4D25" w:rsidRDefault="00984878" w:rsidP="00984878">
      <w:pPr>
        <w:pStyle w:val="ListParagraph"/>
      </w:pPr>
    </w:p>
    <w:p w14:paraId="59443DF8" w14:textId="77777777" w:rsidR="009B6559" w:rsidRPr="005E10EB" w:rsidRDefault="009B6559" w:rsidP="009B6559">
      <w:pPr>
        <w:rPr>
          <w:b/>
        </w:rPr>
      </w:pPr>
      <w:r w:rsidRPr="005E10EB">
        <w:rPr>
          <w:b/>
        </w:rPr>
        <w:t xml:space="preserve">Areas of common interest to </w:t>
      </w:r>
      <w:r w:rsidR="00984878" w:rsidRPr="005E10EB">
        <w:rPr>
          <w:b/>
        </w:rPr>
        <w:t>facilitate</w:t>
      </w:r>
      <w:r w:rsidRPr="005E10EB">
        <w:rPr>
          <w:b/>
        </w:rPr>
        <w:t xml:space="preserve"> trade</w:t>
      </w:r>
      <w:r w:rsidR="002949EB" w:rsidRPr="005E10EB">
        <w:rPr>
          <w:b/>
        </w:rPr>
        <w:t xml:space="preserve"> between the EU</w:t>
      </w:r>
      <w:r w:rsidRPr="005E10EB">
        <w:rPr>
          <w:b/>
        </w:rPr>
        <w:t xml:space="preserve"> </w:t>
      </w:r>
      <w:r w:rsidR="002949EB" w:rsidRPr="005E10EB">
        <w:rPr>
          <w:b/>
        </w:rPr>
        <w:t>and Rwanda</w:t>
      </w:r>
    </w:p>
    <w:p w14:paraId="2A0A2EBC" w14:textId="77777777" w:rsidR="00DE16B0" w:rsidRPr="009D4D25" w:rsidRDefault="00DE16B0" w:rsidP="00DE16B0">
      <w:pPr>
        <w:jc w:val="both"/>
      </w:pPr>
    </w:p>
    <w:p w14:paraId="63AF9B64" w14:textId="77777777" w:rsidR="00B411DF" w:rsidRPr="009D4D25" w:rsidRDefault="00BC4010" w:rsidP="00BA663B">
      <w:pPr>
        <w:jc w:val="both"/>
      </w:pPr>
      <w:r w:rsidRPr="009D4D25">
        <w:t xml:space="preserve">Regarding trade, EBCR is well suited to </w:t>
      </w:r>
      <w:r w:rsidR="001049DB" w:rsidRPr="009D4D25">
        <w:t>support</w:t>
      </w:r>
      <w:r w:rsidR="008236C2" w:rsidRPr="009D4D25">
        <w:t xml:space="preserve"> the implementation </w:t>
      </w:r>
      <w:r w:rsidR="00644531" w:rsidRPr="009D4D25">
        <w:t>of</w:t>
      </w:r>
      <w:r w:rsidRPr="009D4D25">
        <w:t xml:space="preserve"> international trade agreements</w:t>
      </w:r>
      <w:r w:rsidR="00644531" w:rsidRPr="009D4D25">
        <w:t>, such as</w:t>
      </w:r>
      <w:r w:rsidRPr="009D4D25">
        <w:t xml:space="preserve"> the </w:t>
      </w:r>
      <w:r w:rsidR="00976329" w:rsidRPr="009D4D25">
        <w:t xml:space="preserve">EU – EAC comprehensive </w:t>
      </w:r>
      <w:r w:rsidR="00976329" w:rsidRPr="009D4D25">
        <w:rPr>
          <w:b/>
        </w:rPr>
        <w:t>Economic Partnership Agreement (EPA)</w:t>
      </w:r>
      <w:r w:rsidR="007E3AD0" w:rsidRPr="009D4D25">
        <w:t>, which</w:t>
      </w:r>
      <w:r w:rsidRPr="009D4D25">
        <w:t xml:space="preserve"> </w:t>
      </w:r>
      <w:r w:rsidR="00644531" w:rsidRPr="009D4D25">
        <w:t>Rwanda</w:t>
      </w:r>
      <w:r w:rsidR="00976329" w:rsidRPr="009D4D25">
        <w:t xml:space="preserve"> and Kenya have</w:t>
      </w:r>
      <w:r w:rsidRPr="009D4D25">
        <w:t xml:space="preserve"> signed with the </w:t>
      </w:r>
      <w:r w:rsidR="00E07EC9" w:rsidRPr="009D4D25">
        <w:t>EU</w:t>
      </w:r>
      <w:r w:rsidRPr="009D4D25">
        <w:t xml:space="preserve"> in September 2016</w:t>
      </w:r>
      <w:r w:rsidR="00976329" w:rsidRPr="009D4D25">
        <w:t>, with other EAC members yet to follow</w:t>
      </w:r>
      <w:r w:rsidR="00644531" w:rsidRPr="009D4D25">
        <w:t xml:space="preserve">. </w:t>
      </w:r>
      <w:r w:rsidR="00643528" w:rsidRPr="009D4D25">
        <w:t xml:space="preserve">The agreement covers trade in goods and development cooperation. It also contains an extensive chapter on fisheries – aiming mainly to reinforce cooperation on the sustainable use of resources - and foresees further negotiations on services and trade-related rules in future. Moreover, </w:t>
      </w:r>
      <w:r w:rsidR="006B10C7" w:rsidRPr="009D4D25">
        <w:t>EPA contains</w:t>
      </w:r>
      <w:r w:rsidR="00644531" w:rsidRPr="009D4D25">
        <w:t xml:space="preserve"> building blocks that contribute to the </w:t>
      </w:r>
      <w:r w:rsidR="00644531" w:rsidRPr="009D4D25">
        <w:rPr>
          <w:b/>
        </w:rPr>
        <w:t>African Continental Free Trade Area (</w:t>
      </w:r>
      <w:proofErr w:type="spellStart"/>
      <w:r w:rsidR="00644531" w:rsidRPr="009D4D25">
        <w:rPr>
          <w:b/>
        </w:rPr>
        <w:t>AfCFTA</w:t>
      </w:r>
      <w:proofErr w:type="spellEnd"/>
      <w:r w:rsidR="00644531" w:rsidRPr="009D4D25">
        <w:rPr>
          <w:b/>
        </w:rPr>
        <w:t>)</w:t>
      </w:r>
      <w:r w:rsidR="007E3AD0" w:rsidRPr="009D4D25">
        <w:t>, which came into force on 1</w:t>
      </w:r>
      <w:r w:rsidR="007E3AD0" w:rsidRPr="009D4D25">
        <w:rPr>
          <w:vertAlign w:val="superscript"/>
        </w:rPr>
        <w:t>st</w:t>
      </w:r>
      <w:r w:rsidR="007E3AD0" w:rsidRPr="009D4D25">
        <w:t xml:space="preserve"> January 2021.</w:t>
      </w:r>
      <w:r w:rsidR="00644531" w:rsidRPr="009D4D25">
        <w:t xml:space="preserve"> </w:t>
      </w:r>
      <w:proofErr w:type="spellStart"/>
      <w:r w:rsidR="006B10C7" w:rsidRPr="009D4D25">
        <w:t>AfCFTA</w:t>
      </w:r>
      <w:proofErr w:type="spellEnd"/>
      <w:r w:rsidR="006B10C7" w:rsidRPr="009D4D25">
        <w:t xml:space="preserve"> gives an opportunity for businesses based in Rwanda to cater for both continental and regional markets, including the growing urban centres of the neighbouring regions. </w:t>
      </w:r>
      <w:r w:rsidR="00B411DF" w:rsidRPr="009D4D25">
        <w:t>To realise such potential, Rwanda will need to work with its EAC partners to revive and accelerate regional integration.</w:t>
      </w:r>
    </w:p>
    <w:p w14:paraId="62E934E6" w14:textId="77777777" w:rsidR="00B411DF" w:rsidRPr="009D4D25" w:rsidRDefault="00B411DF" w:rsidP="00BA663B">
      <w:pPr>
        <w:jc w:val="both"/>
      </w:pPr>
    </w:p>
    <w:p w14:paraId="279F5923" w14:textId="77777777" w:rsidR="006B10C7" w:rsidRPr="009D4D25" w:rsidRDefault="00B375E0" w:rsidP="00BA663B">
      <w:pPr>
        <w:jc w:val="both"/>
      </w:pPr>
      <w:r>
        <w:t>T</w:t>
      </w:r>
      <w:r w:rsidR="00B411DF" w:rsidRPr="009D4D25">
        <w:t xml:space="preserve">he </w:t>
      </w:r>
      <w:r w:rsidR="00B573E6" w:rsidRPr="009D4D25">
        <w:t xml:space="preserve">EU </w:t>
      </w:r>
      <w:r w:rsidR="00B94002" w:rsidRPr="009D4D25">
        <w:t>supports</w:t>
      </w:r>
      <w:r w:rsidR="00B573E6" w:rsidRPr="009D4D25">
        <w:t xml:space="preserve"> </w:t>
      </w:r>
      <w:r w:rsidR="00B411DF" w:rsidRPr="009D4D25">
        <w:t xml:space="preserve">Rwanda with respect to trade facilitation, reducing non-tariff barriers, harmonising standards, liberalising investment and services and increasing freedom of movement for professionals. In parallel, the EU seeks to support the development of a skilled labour force, matching requirements for trade and services-based higher-productivity jobs. </w:t>
      </w:r>
      <w:r w:rsidR="005A1296">
        <w:t>The EU also seeks</w:t>
      </w:r>
      <w:r w:rsidR="00B411DF" w:rsidRPr="009D4D25">
        <w:t xml:space="preserve"> </w:t>
      </w:r>
      <w:r w:rsidR="00913AD3" w:rsidRPr="009D4D25">
        <w:t xml:space="preserve">to enhance </w:t>
      </w:r>
      <w:r w:rsidR="00B411DF" w:rsidRPr="009D4D25">
        <w:t>the regional dimension</w:t>
      </w:r>
      <w:r w:rsidR="00913AD3" w:rsidRPr="009D4D25">
        <w:t xml:space="preserve"> of digitalization </w:t>
      </w:r>
      <w:r w:rsidR="00B411DF" w:rsidRPr="009D4D25">
        <w:t xml:space="preserve">in terms of the cross-border data flows framework </w:t>
      </w:r>
      <w:r w:rsidR="00913AD3" w:rsidRPr="009D4D25">
        <w:t>and</w:t>
      </w:r>
      <w:r w:rsidR="00B411DF" w:rsidRPr="009D4D25">
        <w:t xml:space="preserve"> e-commerce.</w:t>
      </w:r>
      <w:r w:rsidR="005A1296">
        <w:t xml:space="preserve"> </w:t>
      </w:r>
    </w:p>
    <w:p w14:paraId="272B57AD" w14:textId="77777777" w:rsidR="00D46C02" w:rsidRPr="009D4D25" w:rsidRDefault="00D46C02" w:rsidP="00FF13E3"/>
    <w:p w14:paraId="44CF5805" w14:textId="77777777" w:rsidR="00FF13E3" w:rsidRPr="009D4D25" w:rsidRDefault="00BA663B" w:rsidP="00BA663B">
      <w:pPr>
        <w:pStyle w:val="ListParagraph"/>
        <w:numPr>
          <w:ilvl w:val="0"/>
          <w:numId w:val="12"/>
        </w:numPr>
        <w:rPr>
          <w:b/>
        </w:rPr>
      </w:pPr>
      <w:r w:rsidRPr="009D4D25">
        <w:rPr>
          <w:b/>
        </w:rPr>
        <w:t xml:space="preserve">Promotion of Business Networks </w:t>
      </w:r>
    </w:p>
    <w:p w14:paraId="61709F4A" w14:textId="77777777" w:rsidR="00D07FCB" w:rsidRPr="009D4D25" w:rsidRDefault="00D07FCB" w:rsidP="00F847DE"/>
    <w:p w14:paraId="389BD42B" w14:textId="77777777" w:rsidR="00E06910" w:rsidRPr="009D4D25" w:rsidRDefault="005F0B4D" w:rsidP="00165DD1">
      <w:pPr>
        <w:jc w:val="both"/>
      </w:pPr>
      <w:r w:rsidRPr="009D4D25">
        <w:t xml:space="preserve">EU businesses are stronger together, and EBCR </w:t>
      </w:r>
      <w:r w:rsidR="00E06910" w:rsidRPr="009D4D25">
        <w:t>provides an effective platform enabling members to strengthen EU businesses solidarity (problem solving between members) and find potential technical/commercial/financial partners to grow their companies. The EU supports EBCR in the following domains:</w:t>
      </w:r>
    </w:p>
    <w:p w14:paraId="4D2739E1" w14:textId="77777777" w:rsidR="00E06910" w:rsidRPr="009D4D25" w:rsidRDefault="00E06910" w:rsidP="00165DD1">
      <w:pPr>
        <w:jc w:val="both"/>
      </w:pPr>
    </w:p>
    <w:p w14:paraId="74E458C8" w14:textId="77777777" w:rsidR="00E06910" w:rsidRPr="009D4D25" w:rsidRDefault="00E06910" w:rsidP="00385973">
      <w:pPr>
        <w:pStyle w:val="ListParagraph"/>
        <w:numPr>
          <w:ilvl w:val="0"/>
          <w:numId w:val="24"/>
        </w:numPr>
        <w:jc w:val="both"/>
      </w:pPr>
      <w:r w:rsidRPr="009D4D25">
        <w:rPr>
          <w:b/>
        </w:rPr>
        <w:t>Liaising with international associations</w:t>
      </w:r>
      <w:r w:rsidRPr="009D4D25">
        <w:t xml:space="preserve">, </w:t>
      </w:r>
      <w:r w:rsidRPr="009D4D25">
        <w:rPr>
          <w:i/>
        </w:rPr>
        <w:t>inter alia with</w:t>
      </w:r>
      <w:r w:rsidRPr="009D4D25">
        <w:t xml:space="preserve">: </w:t>
      </w:r>
    </w:p>
    <w:p w14:paraId="772EEE02" w14:textId="77777777" w:rsidR="00E06910" w:rsidRPr="009D4D25" w:rsidRDefault="00E06910" w:rsidP="00E06910">
      <w:pPr>
        <w:pStyle w:val="ListParagraph"/>
        <w:numPr>
          <w:ilvl w:val="0"/>
          <w:numId w:val="9"/>
        </w:numPr>
      </w:pPr>
      <w:r w:rsidRPr="009D4D25">
        <w:t>The European Business Organisation Worldwide Network</w:t>
      </w:r>
    </w:p>
    <w:p w14:paraId="5E6DBE95" w14:textId="77777777" w:rsidR="00E06910" w:rsidRPr="009D4D25" w:rsidRDefault="00E06910" w:rsidP="00E06910">
      <w:pPr>
        <w:pStyle w:val="ListParagraph"/>
        <w:numPr>
          <w:ilvl w:val="0"/>
          <w:numId w:val="9"/>
        </w:numPr>
      </w:pPr>
      <w:r w:rsidRPr="009D4D25">
        <w:t>The American Chamber of Commerce</w:t>
      </w:r>
    </w:p>
    <w:p w14:paraId="33353DB6" w14:textId="77777777" w:rsidR="00E06910" w:rsidRPr="009D4D25" w:rsidRDefault="00E06910" w:rsidP="00E06910">
      <w:pPr>
        <w:pStyle w:val="ListParagraph"/>
        <w:numPr>
          <w:ilvl w:val="0"/>
          <w:numId w:val="9"/>
        </w:numPr>
      </w:pPr>
      <w:r w:rsidRPr="009D4D25">
        <w:t xml:space="preserve">European Business Chambers in Africa (such as </w:t>
      </w:r>
      <w:proofErr w:type="spellStart"/>
      <w:r w:rsidRPr="009D4D25">
        <w:t>EUCham</w:t>
      </w:r>
      <w:proofErr w:type="spellEnd"/>
      <w:r w:rsidRPr="009D4D25">
        <w:t xml:space="preserve"> in Côte d’Ivoire)</w:t>
      </w:r>
    </w:p>
    <w:p w14:paraId="1C8D31F5" w14:textId="77777777" w:rsidR="00E06910" w:rsidRPr="009D4D25" w:rsidRDefault="00E06910" w:rsidP="00E06910">
      <w:pPr>
        <w:pStyle w:val="ListParagraph"/>
        <w:numPr>
          <w:ilvl w:val="0"/>
          <w:numId w:val="9"/>
        </w:numPr>
      </w:pPr>
      <w:r w:rsidRPr="009D4D25">
        <w:t>EUCAM in Belgium</w:t>
      </w:r>
    </w:p>
    <w:p w14:paraId="6FC23860" w14:textId="77777777" w:rsidR="00E06910" w:rsidRPr="009D4D25" w:rsidRDefault="00E06910" w:rsidP="00E06910">
      <w:pPr>
        <w:pStyle w:val="ListParagraph"/>
        <w:numPr>
          <w:ilvl w:val="0"/>
          <w:numId w:val="9"/>
        </w:numPr>
      </w:pPr>
      <w:r w:rsidRPr="009D4D25">
        <w:t>The European Business Council for Africa</w:t>
      </w:r>
    </w:p>
    <w:p w14:paraId="08F9B9CF" w14:textId="77777777" w:rsidR="007505BE" w:rsidRPr="009D4D25" w:rsidRDefault="007505BE" w:rsidP="007505BE">
      <w:pPr>
        <w:pStyle w:val="ListParagraph"/>
        <w:ind w:left="1440"/>
      </w:pPr>
    </w:p>
    <w:p w14:paraId="6F59E249" w14:textId="77777777" w:rsidR="007505BE" w:rsidRPr="009D4D25" w:rsidRDefault="007505BE" w:rsidP="00385973">
      <w:pPr>
        <w:pStyle w:val="ListParagraph"/>
        <w:numPr>
          <w:ilvl w:val="0"/>
          <w:numId w:val="24"/>
        </w:numPr>
      </w:pPr>
      <w:r w:rsidRPr="009D4D25">
        <w:rPr>
          <w:b/>
        </w:rPr>
        <w:t>Facilitating EBCR involvement in partnerships and exchanges with national organisations</w:t>
      </w:r>
      <w:r w:rsidRPr="009D4D25">
        <w:t xml:space="preserve">, </w:t>
      </w:r>
      <w:r w:rsidRPr="009D4D25">
        <w:rPr>
          <w:i/>
        </w:rPr>
        <w:t>inter alia with</w:t>
      </w:r>
      <w:r w:rsidRPr="009D4D25">
        <w:t xml:space="preserve">:  </w:t>
      </w:r>
    </w:p>
    <w:p w14:paraId="664AEB2D" w14:textId="77777777" w:rsidR="007505BE" w:rsidRPr="009D4D25" w:rsidRDefault="007505BE" w:rsidP="007505BE">
      <w:pPr>
        <w:pStyle w:val="ListParagraph"/>
        <w:numPr>
          <w:ilvl w:val="0"/>
          <w:numId w:val="22"/>
        </w:numPr>
      </w:pPr>
      <w:r w:rsidRPr="009D4D25">
        <w:t>Private Sector Federation</w:t>
      </w:r>
    </w:p>
    <w:p w14:paraId="632D0379" w14:textId="77777777" w:rsidR="007505BE" w:rsidRPr="009D4D25" w:rsidRDefault="007505BE" w:rsidP="007505BE">
      <w:pPr>
        <w:pStyle w:val="ListParagraph"/>
        <w:numPr>
          <w:ilvl w:val="0"/>
          <w:numId w:val="22"/>
        </w:numPr>
      </w:pPr>
      <w:r w:rsidRPr="009D4D25">
        <w:t>Rwanda Development Board</w:t>
      </w:r>
    </w:p>
    <w:p w14:paraId="50EB28E6" w14:textId="77777777" w:rsidR="007505BE" w:rsidRPr="009D4D25" w:rsidRDefault="007505BE" w:rsidP="007505BE">
      <w:pPr>
        <w:pStyle w:val="ListParagraph"/>
        <w:numPr>
          <w:ilvl w:val="0"/>
          <w:numId w:val="22"/>
        </w:numPr>
      </w:pPr>
      <w:r w:rsidRPr="009D4D25">
        <w:lastRenderedPageBreak/>
        <w:t xml:space="preserve">Rwanda Revenue Authority </w:t>
      </w:r>
    </w:p>
    <w:p w14:paraId="688CE7A1" w14:textId="77777777" w:rsidR="007505BE" w:rsidRPr="009D4D25" w:rsidRDefault="007505BE" w:rsidP="007505BE">
      <w:pPr>
        <w:pStyle w:val="ListParagraph"/>
        <w:numPr>
          <w:ilvl w:val="0"/>
          <w:numId w:val="22"/>
        </w:numPr>
      </w:pPr>
      <w:r w:rsidRPr="009D4D25">
        <w:t>Line Ministries (MINICOM, etc.)</w:t>
      </w:r>
    </w:p>
    <w:p w14:paraId="009EF0CC" w14:textId="77777777" w:rsidR="00E06910" w:rsidRPr="009D4D25" w:rsidRDefault="00E06910" w:rsidP="007505BE">
      <w:pPr>
        <w:pStyle w:val="ListParagraph"/>
      </w:pPr>
    </w:p>
    <w:p w14:paraId="6C886566" w14:textId="77777777" w:rsidR="00E06910" w:rsidRPr="009D4D25" w:rsidRDefault="00385973" w:rsidP="00385973">
      <w:pPr>
        <w:pStyle w:val="ListParagraph"/>
        <w:numPr>
          <w:ilvl w:val="0"/>
          <w:numId w:val="24"/>
        </w:numPr>
        <w:jc w:val="both"/>
      </w:pPr>
      <w:r w:rsidRPr="009D4D25">
        <w:rPr>
          <w:b/>
        </w:rPr>
        <w:t xml:space="preserve">Establishing a structured and permanent dialogue between company members and the </w:t>
      </w:r>
      <w:proofErr w:type="spellStart"/>
      <w:r w:rsidRPr="009D4D25">
        <w:rPr>
          <w:b/>
        </w:rPr>
        <w:t>GoR</w:t>
      </w:r>
      <w:proofErr w:type="spellEnd"/>
      <w:r w:rsidRPr="009D4D25">
        <w:rPr>
          <w:b/>
        </w:rPr>
        <w:t xml:space="preserve"> authorities</w:t>
      </w:r>
      <w:r w:rsidRPr="009D4D25">
        <w:t xml:space="preserve"> on thematic and sectoral issues pertaining to the improvement of the business climate, </w:t>
      </w:r>
      <w:r w:rsidRPr="009D4D25">
        <w:rPr>
          <w:i/>
        </w:rPr>
        <w:t>including inter alia</w:t>
      </w:r>
      <w:r w:rsidRPr="009D4D25">
        <w:t>:</w:t>
      </w:r>
    </w:p>
    <w:p w14:paraId="47A6E919" w14:textId="77777777" w:rsidR="00385973" w:rsidRPr="009D4D25" w:rsidRDefault="00385973" w:rsidP="00385973">
      <w:pPr>
        <w:pStyle w:val="ListParagraph"/>
        <w:numPr>
          <w:ilvl w:val="0"/>
          <w:numId w:val="23"/>
        </w:numPr>
        <w:jc w:val="both"/>
      </w:pPr>
      <w:r w:rsidRPr="009D4D25">
        <w:t xml:space="preserve">Tax (including VAT) </w:t>
      </w:r>
    </w:p>
    <w:p w14:paraId="694950CD" w14:textId="77777777" w:rsidR="00385973" w:rsidRPr="009D4D25" w:rsidRDefault="00385973" w:rsidP="00385973">
      <w:pPr>
        <w:pStyle w:val="ListParagraph"/>
        <w:numPr>
          <w:ilvl w:val="0"/>
          <w:numId w:val="23"/>
        </w:numPr>
        <w:jc w:val="both"/>
      </w:pPr>
      <w:r w:rsidRPr="009D4D25">
        <w:t xml:space="preserve">Import/export </w:t>
      </w:r>
    </w:p>
    <w:p w14:paraId="3CADB7D1" w14:textId="77777777" w:rsidR="00593641" w:rsidRDefault="00385973" w:rsidP="00593641">
      <w:pPr>
        <w:pStyle w:val="ListParagraph"/>
        <w:numPr>
          <w:ilvl w:val="0"/>
          <w:numId w:val="23"/>
        </w:numPr>
        <w:jc w:val="both"/>
      </w:pPr>
      <w:r w:rsidRPr="009D4D25">
        <w:t>Employment law / TVET</w:t>
      </w:r>
    </w:p>
    <w:p w14:paraId="6F71A39E" w14:textId="77777777" w:rsidR="009E2D13" w:rsidRPr="009D4D25" w:rsidRDefault="009E2D13" w:rsidP="009E2D13">
      <w:pPr>
        <w:jc w:val="both"/>
      </w:pPr>
    </w:p>
    <w:p w14:paraId="759EC44E" w14:textId="77777777" w:rsidR="00FF13E3" w:rsidRPr="009D4D25" w:rsidRDefault="00FF13E3" w:rsidP="00FF13E3">
      <w:pPr>
        <w:rPr>
          <w:b/>
        </w:rPr>
      </w:pPr>
    </w:p>
    <w:p w14:paraId="66DDD15B" w14:textId="77777777" w:rsidR="00581168" w:rsidRPr="00CE4A75" w:rsidRDefault="00CE4A75" w:rsidP="00CE4A75">
      <w:pPr>
        <w:pStyle w:val="ListParagraph"/>
        <w:numPr>
          <w:ilvl w:val="0"/>
          <w:numId w:val="34"/>
        </w:numPr>
        <w:rPr>
          <w:b/>
          <w:bCs/>
          <w:color w:val="1F497D"/>
        </w:rPr>
      </w:pPr>
      <w:r w:rsidRPr="00CE4A75">
        <w:rPr>
          <w:b/>
          <w:bCs/>
          <w:color w:val="1F497D"/>
        </w:rPr>
        <w:t xml:space="preserve">EU SUPPORT </w:t>
      </w:r>
      <w:r w:rsidR="00671AA2">
        <w:rPr>
          <w:b/>
          <w:bCs/>
          <w:color w:val="1F497D"/>
        </w:rPr>
        <w:t>FOR</w:t>
      </w:r>
      <w:r w:rsidRPr="00CE4A75">
        <w:rPr>
          <w:b/>
          <w:bCs/>
          <w:color w:val="1F497D"/>
        </w:rPr>
        <w:t xml:space="preserve"> PRIVATE SECTOR IN RWANDA </w:t>
      </w:r>
    </w:p>
    <w:p w14:paraId="66B574FC" w14:textId="77777777" w:rsidR="00DE6425" w:rsidRPr="00833DFE" w:rsidRDefault="00DE6425" w:rsidP="00833DFE">
      <w:pPr>
        <w:rPr>
          <w:b/>
        </w:rPr>
      </w:pPr>
    </w:p>
    <w:p w14:paraId="5A55DB16" w14:textId="77777777" w:rsidR="00581542" w:rsidRPr="009D4D25" w:rsidRDefault="00CE4A75" w:rsidP="00581168">
      <w:pPr>
        <w:pStyle w:val="ListParagraph"/>
        <w:numPr>
          <w:ilvl w:val="0"/>
          <w:numId w:val="19"/>
        </w:numPr>
        <w:rPr>
          <w:b/>
        </w:rPr>
      </w:pPr>
      <w:r>
        <w:rPr>
          <w:b/>
        </w:rPr>
        <w:t>EU projects</w:t>
      </w:r>
    </w:p>
    <w:p w14:paraId="2AC2B848" w14:textId="77777777" w:rsidR="009C7B81" w:rsidRPr="009D4D25" w:rsidRDefault="009C7B81" w:rsidP="009C7B81">
      <w:pPr>
        <w:jc w:val="both"/>
      </w:pPr>
    </w:p>
    <w:p w14:paraId="0B245B1B" w14:textId="77777777" w:rsidR="00D67B1C" w:rsidRPr="009D4D25" w:rsidRDefault="006D0A51" w:rsidP="006D0A51">
      <w:pPr>
        <w:jc w:val="both"/>
      </w:pPr>
      <w:r w:rsidRPr="006D0A51">
        <w:rPr>
          <w:b/>
        </w:rPr>
        <w:t>Area</w:t>
      </w:r>
      <w:r>
        <w:rPr>
          <w:b/>
        </w:rPr>
        <w:t xml:space="preserve"> No 1</w:t>
      </w:r>
      <w:r>
        <w:t>:</w:t>
      </w:r>
      <w:r w:rsidR="00D67B1C" w:rsidRPr="009D4D25">
        <w:t xml:space="preserve"> </w:t>
      </w:r>
      <w:r w:rsidR="00D67B1C" w:rsidRPr="006D0A51">
        <w:rPr>
          <w:i/>
        </w:rPr>
        <w:t xml:space="preserve">Support to Private Sector Development and Job creation in Rwanda  </w:t>
      </w:r>
    </w:p>
    <w:p w14:paraId="0CC7D016" w14:textId="77777777" w:rsidR="00D67B1C" w:rsidRPr="009D4D25" w:rsidRDefault="00D67B1C" w:rsidP="00B3715E">
      <w:pPr>
        <w:jc w:val="both"/>
      </w:pPr>
    </w:p>
    <w:p w14:paraId="68869516" w14:textId="77777777" w:rsidR="006A617C" w:rsidRDefault="006D0A51" w:rsidP="006A617C">
      <w:pPr>
        <w:jc w:val="both"/>
      </w:pPr>
      <w:r>
        <w:t>This support</w:t>
      </w:r>
      <w:r w:rsidR="00786D81" w:rsidRPr="009D4D25">
        <w:t xml:space="preserve"> is expected to harness the growth and decent job creation potential of the sustainable Tourism and Digital Economy, as well as ensure equal access to opportunities in these sectors for all. </w:t>
      </w:r>
      <w:r w:rsidR="006A617C">
        <w:t>T</w:t>
      </w:r>
      <w:r w:rsidR="006A617C" w:rsidRPr="009D4D25">
        <w:t>he programme will make a meaningful contribution to the Government's objective to create 214,000 new jobs per year up to 2024, whilst also being a first effort by the EU in terms of supporting private sector development as a crucial driver of economic development in Rwanda.</w:t>
      </w:r>
    </w:p>
    <w:p w14:paraId="0E125692" w14:textId="77777777" w:rsidR="006A617C" w:rsidRPr="009D4D25" w:rsidRDefault="006A617C" w:rsidP="006A617C">
      <w:pPr>
        <w:jc w:val="both"/>
      </w:pPr>
    </w:p>
    <w:p w14:paraId="708FCFE4" w14:textId="77777777" w:rsidR="00B3715E" w:rsidRPr="009D4D25" w:rsidRDefault="00786D81" w:rsidP="00ED01F0">
      <w:pPr>
        <w:jc w:val="both"/>
      </w:pPr>
      <w:r w:rsidRPr="009D4D25">
        <w:t>The programme focus</w:t>
      </w:r>
      <w:r w:rsidR="006A617C">
        <w:t>es</w:t>
      </w:r>
      <w:r w:rsidRPr="009D4D25">
        <w:t xml:space="preserve"> on two </w:t>
      </w:r>
      <w:r w:rsidR="00CE4A75">
        <w:t>projects</w:t>
      </w:r>
      <w:r w:rsidRPr="009D4D25">
        <w:t xml:space="preserve">: </w:t>
      </w:r>
    </w:p>
    <w:p w14:paraId="58274826" w14:textId="77777777" w:rsidR="00786D81" w:rsidRPr="009D4D25" w:rsidRDefault="00786D81" w:rsidP="00ED01F0">
      <w:pPr>
        <w:jc w:val="both"/>
      </w:pPr>
    </w:p>
    <w:p w14:paraId="7607D06A" w14:textId="1116ECBE" w:rsidR="00B3715E" w:rsidRPr="009D4D25" w:rsidRDefault="00B3715E" w:rsidP="004B46E8">
      <w:pPr>
        <w:pStyle w:val="ListParagraph"/>
        <w:numPr>
          <w:ilvl w:val="0"/>
          <w:numId w:val="18"/>
        </w:numPr>
        <w:jc w:val="both"/>
        <w:rPr>
          <w:i/>
        </w:rPr>
      </w:pPr>
      <w:r w:rsidRPr="009D4D25">
        <w:rPr>
          <w:i/>
        </w:rPr>
        <w:t>Deployment</w:t>
      </w:r>
      <w:r w:rsidR="00ED01F0" w:rsidRPr="009D4D25">
        <w:rPr>
          <w:i/>
        </w:rPr>
        <w:t xml:space="preserve"> of innovation hubs and start-up incubators </w:t>
      </w:r>
      <w:r w:rsidR="00526EE7">
        <w:rPr>
          <w:i/>
        </w:rPr>
        <w:t>in 4 secondary cities</w:t>
      </w:r>
      <w:r w:rsidRPr="009D4D25">
        <w:rPr>
          <w:i/>
        </w:rPr>
        <w:t xml:space="preserve"> (</w:t>
      </w:r>
      <w:proofErr w:type="spellStart"/>
      <w:r w:rsidR="00526EE7">
        <w:rPr>
          <w:i/>
        </w:rPr>
        <w:t>Rubavu</w:t>
      </w:r>
      <w:proofErr w:type="spellEnd"/>
      <w:r w:rsidR="00526EE7">
        <w:rPr>
          <w:i/>
        </w:rPr>
        <w:t xml:space="preserve">, </w:t>
      </w:r>
      <w:proofErr w:type="spellStart"/>
      <w:r w:rsidR="00526EE7">
        <w:rPr>
          <w:i/>
        </w:rPr>
        <w:t>Rusizi</w:t>
      </w:r>
      <w:proofErr w:type="spellEnd"/>
      <w:r w:rsidR="00526EE7">
        <w:rPr>
          <w:i/>
        </w:rPr>
        <w:t xml:space="preserve">, </w:t>
      </w:r>
      <w:proofErr w:type="spellStart"/>
      <w:r w:rsidR="00526EE7">
        <w:rPr>
          <w:i/>
        </w:rPr>
        <w:t>Nyagatare</w:t>
      </w:r>
      <w:proofErr w:type="spellEnd"/>
      <w:r w:rsidR="00526EE7">
        <w:rPr>
          <w:i/>
        </w:rPr>
        <w:t xml:space="preserve"> and </w:t>
      </w:r>
      <w:proofErr w:type="spellStart"/>
      <w:r w:rsidR="00526EE7">
        <w:rPr>
          <w:i/>
        </w:rPr>
        <w:t>Ruhanga</w:t>
      </w:r>
      <w:proofErr w:type="spellEnd"/>
      <w:r w:rsidRPr="009D4D25">
        <w:rPr>
          <w:i/>
        </w:rPr>
        <w:t>)</w:t>
      </w:r>
    </w:p>
    <w:p w14:paraId="24D360F4" w14:textId="77777777" w:rsidR="00ED01F0" w:rsidRPr="009D4D25" w:rsidRDefault="00ED01F0" w:rsidP="00ED01F0">
      <w:pPr>
        <w:jc w:val="both"/>
      </w:pPr>
    </w:p>
    <w:p w14:paraId="5C3B4096" w14:textId="77777777" w:rsidR="00786D81" w:rsidRPr="009D4D25" w:rsidRDefault="00B3715E" w:rsidP="00ED01F0">
      <w:pPr>
        <w:jc w:val="both"/>
      </w:pPr>
      <w:r w:rsidRPr="009D4D25">
        <w:rPr>
          <w:noProof/>
          <w:lang w:eastAsia="en-GB"/>
        </w:rPr>
        <w:drawing>
          <wp:inline distT="0" distB="0" distL="0" distR="0" wp14:anchorId="35CA4FCC" wp14:editId="2D641BE1">
            <wp:extent cx="6031230" cy="1259088"/>
            <wp:effectExtent l="0" t="0" r="0" b="0"/>
            <wp:docPr id="1" name="Picture 1" descr="C:\Users\juskazy\Desktop\HANG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kazy\Desktop\HANGA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1230" cy="1259088"/>
                    </a:xfrm>
                    <a:prstGeom prst="rect">
                      <a:avLst/>
                    </a:prstGeom>
                    <a:noFill/>
                    <a:ln>
                      <a:noFill/>
                    </a:ln>
                  </pic:spPr>
                </pic:pic>
              </a:graphicData>
            </a:graphic>
          </wp:inline>
        </w:drawing>
      </w:r>
    </w:p>
    <w:p w14:paraId="6829B36D" w14:textId="77777777" w:rsidR="00B3715E" w:rsidRPr="009D4D25" w:rsidRDefault="00B3715E" w:rsidP="00ED01F0">
      <w:pPr>
        <w:jc w:val="both"/>
      </w:pPr>
      <w:r w:rsidRPr="009D4D25">
        <w:rPr>
          <w:noProof/>
          <w:lang w:eastAsia="en-GB"/>
        </w:rPr>
        <w:lastRenderedPageBreak/>
        <w:drawing>
          <wp:inline distT="0" distB="0" distL="0" distR="0" wp14:anchorId="748E4740" wp14:editId="11504B27">
            <wp:extent cx="6031230" cy="3394130"/>
            <wp:effectExtent l="0" t="0" r="7620" b="0"/>
            <wp:docPr id="2" name="Picture 2" descr="C:\Users\juskazy\Desktop\Hanga 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kazy\Desktop\Hanga Infographi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1230" cy="3394130"/>
                    </a:xfrm>
                    <a:prstGeom prst="rect">
                      <a:avLst/>
                    </a:prstGeom>
                    <a:noFill/>
                    <a:ln>
                      <a:noFill/>
                    </a:ln>
                  </pic:spPr>
                </pic:pic>
              </a:graphicData>
            </a:graphic>
          </wp:inline>
        </w:drawing>
      </w:r>
    </w:p>
    <w:p w14:paraId="22D53CE2" w14:textId="77777777" w:rsidR="00B3715E" w:rsidRPr="009D4D25" w:rsidRDefault="00B3715E" w:rsidP="00ED01F0">
      <w:pPr>
        <w:jc w:val="both"/>
      </w:pPr>
    </w:p>
    <w:p w14:paraId="698D6D3C" w14:textId="77777777" w:rsidR="00786D81" w:rsidRPr="009D4D25" w:rsidRDefault="00786D81" w:rsidP="00786D81">
      <w:pPr>
        <w:jc w:val="both"/>
      </w:pPr>
      <w:r w:rsidRPr="009D4D25">
        <w:t>The project has been launched on 2</w:t>
      </w:r>
      <w:r w:rsidRPr="009D4D25">
        <w:rPr>
          <w:vertAlign w:val="superscript"/>
        </w:rPr>
        <w:t>nd</w:t>
      </w:r>
      <w:r w:rsidRPr="009D4D25">
        <w:t xml:space="preserve"> March 2021.</w:t>
      </w:r>
    </w:p>
    <w:p w14:paraId="71A48D68" w14:textId="77777777" w:rsidR="00786D81" w:rsidRPr="009D4D25" w:rsidRDefault="00786D81" w:rsidP="00ED01F0">
      <w:pPr>
        <w:jc w:val="both"/>
      </w:pPr>
    </w:p>
    <w:p w14:paraId="50D1BD3A" w14:textId="77777777" w:rsidR="004B46E8" w:rsidRPr="009D4D25" w:rsidRDefault="00B3715E" w:rsidP="004B46E8">
      <w:pPr>
        <w:pStyle w:val="ListParagraph"/>
        <w:numPr>
          <w:ilvl w:val="0"/>
          <w:numId w:val="18"/>
        </w:numPr>
        <w:jc w:val="both"/>
        <w:rPr>
          <w:i/>
        </w:rPr>
      </w:pPr>
      <w:r w:rsidRPr="009D4D25">
        <w:rPr>
          <w:i/>
        </w:rPr>
        <w:t>Job creation in the tourism</w:t>
      </w:r>
      <w:r w:rsidR="004B46E8" w:rsidRPr="009D4D25">
        <w:rPr>
          <w:i/>
        </w:rPr>
        <w:t xml:space="preserve"> sector via improvement of TVET</w:t>
      </w:r>
      <w:r w:rsidRPr="009D4D25">
        <w:rPr>
          <w:i/>
        </w:rPr>
        <w:t xml:space="preserve"> </w:t>
      </w:r>
    </w:p>
    <w:p w14:paraId="19552A06" w14:textId="77777777" w:rsidR="004B46E8" w:rsidRPr="009D4D25" w:rsidRDefault="004B46E8" w:rsidP="004B46E8">
      <w:pPr>
        <w:jc w:val="both"/>
      </w:pPr>
    </w:p>
    <w:p w14:paraId="7339D462" w14:textId="77777777" w:rsidR="00B3715E" w:rsidRPr="009D4D25" w:rsidRDefault="004B46E8" w:rsidP="004B46E8">
      <w:pPr>
        <w:jc w:val="both"/>
      </w:pPr>
      <w:r w:rsidRPr="009D4D25">
        <w:t>The project to</w:t>
      </w:r>
      <w:r w:rsidR="00B3715E" w:rsidRPr="009D4D25">
        <w:t xml:space="preserve"> be</w:t>
      </w:r>
      <w:r w:rsidRPr="009D4D25">
        <w:t xml:space="preserve"> launched in spring/summer 2021</w:t>
      </w:r>
      <w:r w:rsidR="004B45FE" w:rsidRPr="009D4D25">
        <w:t>.</w:t>
      </w:r>
    </w:p>
    <w:p w14:paraId="0C95BA40" w14:textId="77777777" w:rsidR="00786D81" w:rsidRPr="009D4D25" w:rsidRDefault="00786D81" w:rsidP="004B46E8">
      <w:pPr>
        <w:jc w:val="both"/>
      </w:pPr>
    </w:p>
    <w:p w14:paraId="6716EC75" w14:textId="77777777" w:rsidR="00B3715E" w:rsidRPr="009D4D25" w:rsidRDefault="00B3715E" w:rsidP="00ED01F0">
      <w:pPr>
        <w:jc w:val="both"/>
      </w:pPr>
    </w:p>
    <w:p w14:paraId="757A4215" w14:textId="77777777" w:rsidR="004E254C" w:rsidRPr="009D4D25" w:rsidRDefault="004E254C" w:rsidP="00ED01F0">
      <w:pPr>
        <w:jc w:val="both"/>
      </w:pPr>
      <w:r w:rsidRPr="009D4D25">
        <w:t>----</w:t>
      </w:r>
    </w:p>
    <w:p w14:paraId="6E4609F3" w14:textId="77777777" w:rsidR="004E254C" w:rsidRPr="009D4D25" w:rsidRDefault="004E254C" w:rsidP="00ED01F0">
      <w:pPr>
        <w:jc w:val="both"/>
      </w:pPr>
    </w:p>
    <w:p w14:paraId="0FF8A5E4" w14:textId="77777777" w:rsidR="00786D81" w:rsidRPr="009D4D25" w:rsidRDefault="00CE4A75" w:rsidP="00CE4A75">
      <w:pPr>
        <w:jc w:val="both"/>
      </w:pPr>
      <w:r w:rsidRPr="00CE4A75">
        <w:rPr>
          <w:b/>
        </w:rPr>
        <w:t>Area No 2</w:t>
      </w:r>
      <w:r w:rsidR="00786D81" w:rsidRPr="009D4D25">
        <w:t xml:space="preserve">: </w:t>
      </w:r>
      <w:r w:rsidR="00786D81" w:rsidRPr="00CE4A75">
        <w:rPr>
          <w:i/>
        </w:rPr>
        <w:t xml:space="preserve">Support to the production of reliable and </w:t>
      </w:r>
      <w:proofErr w:type="gramStart"/>
      <w:r w:rsidR="00786D81" w:rsidRPr="00CE4A75">
        <w:rPr>
          <w:i/>
        </w:rPr>
        <w:t>policy oriented</w:t>
      </w:r>
      <w:proofErr w:type="gramEnd"/>
      <w:r w:rsidR="00786D81" w:rsidRPr="00CE4A75">
        <w:rPr>
          <w:i/>
        </w:rPr>
        <w:t xml:space="preserve"> statistics and investment promotion in Rwanda    </w:t>
      </w:r>
    </w:p>
    <w:p w14:paraId="5100E3FC" w14:textId="77777777" w:rsidR="00786D81" w:rsidRPr="009D4D25" w:rsidRDefault="00786D81" w:rsidP="00ED01F0">
      <w:pPr>
        <w:jc w:val="both"/>
      </w:pPr>
    </w:p>
    <w:p w14:paraId="2A371151" w14:textId="77777777" w:rsidR="004E254C" w:rsidRDefault="004E254C" w:rsidP="00CE4A75">
      <w:pPr>
        <w:jc w:val="both"/>
      </w:pPr>
      <w:r w:rsidRPr="009D4D25">
        <w:t xml:space="preserve">The overall objective is to improve the availability, accessibility and integration of reliable statistics and business-oriented data into policies promoting investment and trade across potential economic sectors. Activities will focus on supporting the implementation of </w:t>
      </w:r>
      <w:r w:rsidR="00745B60" w:rsidRPr="009D4D25">
        <w:t>two</w:t>
      </w:r>
      <w:r w:rsidR="00CE4A75">
        <w:t xml:space="preserve"> projects supporting </w:t>
      </w:r>
      <w:r w:rsidRPr="009D4D25">
        <w:t xml:space="preserve">the Rwanda Development Board </w:t>
      </w:r>
      <w:r w:rsidR="00CE4A75">
        <w:t xml:space="preserve">and </w:t>
      </w:r>
      <w:r w:rsidRPr="009D4D25">
        <w:t>the National Institute of Statistics of Rwanda</w:t>
      </w:r>
      <w:r w:rsidR="006A617C">
        <w:t>.</w:t>
      </w:r>
    </w:p>
    <w:p w14:paraId="1DA010F1" w14:textId="77777777" w:rsidR="006A617C" w:rsidRDefault="006A617C" w:rsidP="00CE4A75">
      <w:pPr>
        <w:jc w:val="both"/>
      </w:pPr>
    </w:p>
    <w:p w14:paraId="20B6B017" w14:textId="77777777" w:rsidR="006A617C" w:rsidRDefault="006A617C" w:rsidP="00CE4A75">
      <w:pPr>
        <w:jc w:val="both"/>
      </w:pPr>
      <w:r w:rsidRPr="006A617C">
        <w:rPr>
          <w:b/>
        </w:rPr>
        <w:t>The first objective of the Action</w:t>
      </w:r>
      <w:r w:rsidRPr="006A617C">
        <w:t xml:space="preserve"> is to enhance the production of reliable policy-oriented statistics. The production of national statistics in Rwanda has been supported by the European Union since 2007, through capacity building as well as funding surveys produced by the National Institute for Statistics of Rwanda, which has gradually developed into a well-established national institute that produces a broad range of reliable statistics. But a lot still remains to be done to enhance the capacity of the institute and make it a self-sustaining institution.</w:t>
      </w:r>
      <w:r>
        <w:t xml:space="preserve"> </w:t>
      </w:r>
      <w:r w:rsidRPr="006A617C">
        <w:t>There is also increasing demand for variety of data to track Sustainable Development Goals (SDGs), hence the production and dissemination of surveys in specific sectors such as health, agriculture and living conditions needs to be enhanced in order to support other sectoral development priorities and to ensure that the benefits of economic expansion are well spread around the country. The programme will also support the preparation of the 2022 census as the population is changing rapidly.</w:t>
      </w:r>
    </w:p>
    <w:p w14:paraId="1B8E2139" w14:textId="77777777" w:rsidR="006A617C" w:rsidRDefault="006A617C" w:rsidP="00CE4A75">
      <w:pPr>
        <w:jc w:val="both"/>
      </w:pPr>
    </w:p>
    <w:p w14:paraId="369D4A65" w14:textId="77777777" w:rsidR="006A617C" w:rsidRPr="009D4D25" w:rsidRDefault="006A617C" w:rsidP="00CE4A75">
      <w:pPr>
        <w:jc w:val="both"/>
      </w:pPr>
      <w:r w:rsidRPr="006A617C">
        <w:rPr>
          <w:b/>
        </w:rPr>
        <w:t>The second objective of the Action</w:t>
      </w:r>
      <w:r w:rsidRPr="006A617C">
        <w:t xml:space="preserve"> is to promote trade and investment across sectors, which would provide support to households and boost employment and growth towards recovery of COVID-19 impact to </w:t>
      </w:r>
      <w:r w:rsidRPr="006A617C">
        <w:lastRenderedPageBreak/>
        <w:t xml:space="preserve">Rwanda. This action will further crowd in private investment in key economic sectors such services, infrastructure, agriculture, energy, information and communication technologies.  </w:t>
      </w:r>
    </w:p>
    <w:p w14:paraId="4B3BD17E" w14:textId="77777777" w:rsidR="004E254C" w:rsidRPr="009D4D25" w:rsidRDefault="004E254C" w:rsidP="00ED01F0">
      <w:pPr>
        <w:jc w:val="both"/>
      </w:pPr>
    </w:p>
    <w:p w14:paraId="50E0AF95" w14:textId="77777777" w:rsidR="004E254C" w:rsidRPr="009D4D25" w:rsidRDefault="006A617C" w:rsidP="00ED01F0">
      <w:pPr>
        <w:jc w:val="both"/>
      </w:pPr>
      <w:r>
        <w:t>Projects will be launched in spring/summer 2021.</w:t>
      </w:r>
    </w:p>
    <w:p w14:paraId="56BCB4AE" w14:textId="77777777" w:rsidR="00ED01F0" w:rsidRPr="009D4D25" w:rsidRDefault="00ED01F0" w:rsidP="00ED01F0"/>
    <w:p w14:paraId="206C50FA" w14:textId="77777777" w:rsidR="00FF13E3" w:rsidRPr="009D4D25" w:rsidRDefault="004B46E8" w:rsidP="00581168">
      <w:pPr>
        <w:pStyle w:val="ListParagraph"/>
        <w:numPr>
          <w:ilvl w:val="0"/>
          <w:numId w:val="19"/>
        </w:numPr>
        <w:rPr>
          <w:b/>
        </w:rPr>
      </w:pPr>
      <w:r w:rsidRPr="009D4D25">
        <w:rPr>
          <w:b/>
        </w:rPr>
        <w:t>Rwanda MIP 2021-2027</w:t>
      </w:r>
    </w:p>
    <w:p w14:paraId="766B5185" w14:textId="77777777" w:rsidR="004B46E8" w:rsidRPr="009D4D25" w:rsidRDefault="004B46E8" w:rsidP="004B46E8"/>
    <w:p w14:paraId="0E235F32" w14:textId="77777777" w:rsidR="002B78B6" w:rsidRPr="009D4D25" w:rsidRDefault="00EA113C" w:rsidP="00EA113C">
      <w:pPr>
        <w:jc w:val="both"/>
      </w:pPr>
      <w:r w:rsidRPr="009D4D25">
        <w:t>The 2021-27 Multiannual indicative programme (MIP) for Rwanda aims to stimulate pro-poor, sustainable and inclusive growth. Progress in the proposed sectors will reduce poverty and unlock critical bottlenecks in Rwanda’s ambitious objective of reaching upper-middle income status by 2035 and high-income status by 2050. The MIP is in line with the Government’s Vision 2050 and the National Strategy for Transformation (NST1), whilst also contributing to progress toward the Sust</w:t>
      </w:r>
      <w:r w:rsidR="004C60B1" w:rsidRPr="009D4D25">
        <w:t>ainable Development Goals</w:t>
      </w:r>
      <w:r w:rsidRPr="009D4D25">
        <w:t>.</w:t>
      </w:r>
      <w:r w:rsidR="002B78B6" w:rsidRPr="009D4D25">
        <w:t xml:space="preserve"> In the field of private sector, the EU will engage in the following activities:</w:t>
      </w:r>
    </w:p>
    <w:p w14:paraId="7E07A8A6" w14:textId="77777777" w:rsidR="00EA113C" w:rsidRPr="009D4D25" w:rsidRDefault="00EA113C" w:rsidP="00EA113C">
      <w:pPr>
        <w:jc w:val="both"/>
      </w:pPr>
    </w:p>
    <w:p w14:paraId="06DDDDF2" w14:textId="77777777" w:rsidR="004C60B1" w:rsidRPr="009D4D25" w:rsidRDefault="00D64298" w:rsidP="004C60B1">
      <w:pPr>
        <w:jc w:val="both"/>
      </w:pPr>
      <w:r w:rsidRPr="009D4D25">
        <w:t xml:space="preserve">In terms of </w:t>
      </w:r>
      <w:r w:rsidRPr="009D4D25">
        <w:rPr>
          <w:b/>
          <w:bCs/>
        </w:rPr>
        <w:t>economic governance</w:t>
      </w:r>
      <w:r w:rsidRPr="009D4D25">
        <w:t xml:space="preserve">, the EU supports Rwanda’s NST1 commitment of developing the private sector as the main engine of economic growth. As Rwanda’s economy </w:t>
      </w:r>
      <w:proofErr w:type="gramStart"/>
      <w:r w:rsidRPr="009D4D25">
        <w:t>matures, and</w:t>
      </w:r>
      <w:proofErr w:type="gramEnd"/>
      <w:r w:rsidRPr="009D4D25">
        <w:t xml:space="preserve"> given the debt increase triggered by the COVID crisis, the country needs to accelerate the shift from the current public investment-led growth model to a stronger role for private sector as the main driver of inve</w:t>
      </w:r>
      <w:r w:rsidR="004C60B1" w:rsidRPr="009D4D25">
        <w:t>stment and employment creation.</w:t>
      </w:r>
    </w:p>
    <w:p w14:paraId="08984749" w14:textId="77777777" w:rsidR="004C60B1" w:rsidRPr="009D4D25" w:rsidRDefault="004C60B1" w:rsidP="004C60B1">
      <w:pPr>
        <w:jc w:val="both"/>
      </w:pPr>
    </w:p>
    <w:p w14:paraId="54F3821A" w14:textId="77777777" w:rsidR="00D64298" w:rsidRPr="009D4D25" w:rsidRDefault="00A53592" w:rsidP="004C60B1">
      <w:pPr>
        <w:jc w:val="both"/>
      </w:pPr>
      <w:r w:rsidRPr="009D4D25">
        <w:t xml:space="preserve">The EU will support transforming </w:t>
      </w:r>
      <w:r w:rsidRPr="009D4D25">
        <w:rPr>
          <w:b/>
        </w:rPr>
        <w:t>agriculture</w:t>
      </w:r>
      <w:r w:rsidRPr="009D4D25">
        <w:t xml:space="preserve"> from a public sector-led growth model into a more private and market-driven sector, with better linkages to urban market areas.</w:t>
      </w:r>
      <w:r w:rsidR="002B78B6" w:rsidRPr="009D4D25">
        <w:t xml:space="preserve"> </w:t>
      </w:r>
    </w:p>
    <w:p w14:paraId="1CD2FD55" w14:textId="77777777" w:rsidR="004C60B1" w:rsidRPr="009D4D25" w:rsidRDefault="004C60B1" w:rsidP="004C60B1">
      <w:pPr>
        <w:jc w:val="both"/>
      </w:pPr>
    </w:p>
    <w:p w14:paraId="654D7035" w14:textId="77777777" w:rsidR="00EA113C" w:rsidRPr="009D4D25" w:rsidRDefault="00D64298" w:rsidP="004C60B1">
      <w:pPr>
        <w:jc w:val="both"/>
      </w:pPr>
      <w:r w:rsidRPr="009D4D25">
        <w:t xml:space="preserve">With regard to </w:t>
      </w:r>
      <w:r w:rsidRPr="009D4D25">
        <w:rPr>
          <w:b/>
        </w:rPr>
        <w:t>TVET sector</w:t>
      </w:r>
      <w:r w:rsidRPr="009D4D25">
        <w:t xml:space="preserve">, </w:t>
      </w:r>
      <w:r w:rsidR="006516AD" w:rsidRPr="009D4D25">
        <w:t xml:space="preserve">the </w:t>
      </w:r>
      <w:r w:rsidRPr="009D4D25">
        <w:t xml:space="preserve">EU </w:t>
      </w:r>
      <w:r w:rsidR="006516AD" w:rsidRPr="009D4D25">
        <w:t xml:space="preserve">will </w:t>
      </w:r>
      <w:r w:rsidRPr="009D4D25">
        <w:t xml:space="preserve">support </w:t>
      </w:r>
      <w:r w:rsidR="006516AD" w:rsidRPr="009D4D25">
        <w:t xml:space="preserve">the </w:t>
      </w:r>
      <w:r w:rsidRPr="009D4D25">
        <w:t>improve</w:t>
      </w:r>
      <w:r w:rsidR="006516AD" w:rsidRPr="009D4D25">
        <w:t>ment of</w:t>
      </w:r>
      <w:r w:rsidRPr="009D4D25">
        <w:t xml:space="preserve"> the quality of learning outcomes and their alignment with the needs of private sector. The creation of more effective linkages with private sector will increase the involvement of private sector in both policy-making and actual training, including through workplace learning schemes, within public or private sector, (see also specific objective on </w:t>
      </w:r>
      <w:r w:rsidRPr="009D4D25">
        <w:rPr>
          <w:i/>
          <w:iCs/>
        </w:rPr>
        <w:t>Inclusive</w:t>
      </w:r>
      <w:r w:rsidRPr="009D4D25">
        <w:t xml:space="preserve"> </w:t>
      </w:r>
      <w:r w:rsidRPr="009D4D25">
        <w:rPr>
          <w:i/>
          <w:iCs/>
        </w:rPr>
        <w:t>entrepreneurship</w:t>
      </w:r>
      <w:r w:rsidRPr="009D4D25">
        <w:rPr>
          <w:iCs/>
        </w:rPr>
        <w:t>)</w:t>
      </w:r>
      <w:r w:rsidRPr="009D4D25">
        <w:t>.</w:t>
      </w:r>
    </w:p>
    <w:p w14:paraId="66D68249" w14:textId="77777777" w:rsidR="00A53592" w:rsidRPr="009D4D25" w:rsidRDefault="00A53592" w:rsidP="00EA113C">
      <w:pPr>
        <w:jc w:val="both"/>
      </w:pPr>
    </w:p>
    <w:p w14:paraId="4E510CFA" w14:textId="77777777" w:rsidR="00A53592" w:rsidRPr="009D4D25" w:rsidRDefault="00A53592" w:rsidP="00EA113C">
      <w:pPr>
        <w:jc w:val="both"/>
      </w:pPr>
      <w:r w:rsidRPr="009D4D25">
        <w:t xml:space="preserve">Concerning </w:t>
      </w:r>
      <w:r w:rsidRPr="009D4D25">
        <w:rPr>
          <w:b/>
        </w:rPr>
        <w:t>access to finance</w:t>
      </w:r>
      <w:r w:rsidRPr="009D4D25">
        <w:t>, the EU will support investments in climate-resilient municipal infrastructure and green financial instruments for private sector investments. The focus will mainly be on secondary and satellite cities, to foster a more balanced system of cities within the country.</w:t>
      </w:r>
    </w:p>
    <w:p w14:paraId="166BA039" w14:textId="77777777" w:rsidR="004B46E8" w:rsidRPr="009D4D25" w:rsidRDefault="004B46E8" w:rsidP="004B46E8"/>
    <w:p w14:paraId="39EE7689" w14:textId="77777777" w:rsidR="00285ECE" w:rsidRPr="009D4D25" w:rsidRDefault="00FF13E3" w:rsidP="00581168">
      <w:pPr>
        <w:pStyle w:val="ListParagraph"/>
        <w:numPr>
          <w:ilvl w:val="0"/>
          <w:numId w:val="19"/>
        </w:numPr>
        <w:rPr>
          <w:b/>
        </w:rPr>
      </w:pPr>
      <w:r w:rsidRPr="009D4D25">
        <w:rPr>
          <w:b/>
        </w:rPr>
        <w:t>The</w:t>
      </w:r>
      <w:r w:rsidR="00285ECE" w:rsidRPr="009D4D25">
        <w:rPr>
          <w:b/>
        </w:rPr>
        <w:t xml:space="preserve"> </w:t>
      </w:r>
      <w:r w:rsidR="00A53592" w:rsidRPr="009D4D25">
        <w:rPr>
          <w:b/>
        </w:rPr>
        <w:t>private sector development and youth employment sector-working group</w:t>
      </w:r>
    </w:p>
    <w:p w14:paraId="0C4638B8" w14:textId="77777777" w:rsidR="00BA0B2E" w:rsidRPr="009D4D25" w:rsidRDefault="00BA0B2E" w:rsidP="00BA0B2E"/>
    <w:p w14:paraId="7CFAA13D" w14:textId="77777777" w:rsidR="00BA0B2E" w:rsidRPr="009D4D25" w:rsidRDefault="00BA0B2E" w:rsidP="00BA0B2E">
      <w:pPr>
        <w:jc w:val="both"/>
      </w:pPr>
      <w:r w:rsidRPr="009D4D25">
        <w:t xml:space="preserve">Since 2020, the EU acts as co-chair of the </w:t>
      </w:r>
      <w:r w:rsidR="0009266E" w:rsidRPr="009D4D25">
        <w:t>Private Sector Development and Youth Employment (PSDYE) Sector Working Group</w:t>
      </w:r>
      <w:r w:rsidRPr="009D4D25">
        <w:t xml:space="preserve">, creating an opportunity to instil a new dynamic in public-private dialogue. The creation of the </w:t>
      </w:r>
      <w:r w:rsidR="00A02874" w:rsidRPr="009D4D25">
        <w:t>EBCR</w:t>
      </w:r>
      <w:r w:rsidRPr="009D4D25">
        <w:t xml:space="preserve"> in 2020 has already opened avenues for further engagement between Government and the European private sector.</w:t>
      </w:r>
    </w:p>
    <w:p w14:paraId="36089C6B" w14:textId="77777777" w:rsidR="009310F5" w:rsidRPr="009D4D25" w:rsidRDefault="009310F5"/>
    <w:p w14:paraId="03658712" w14:textId="77777777" w:rsidR="005A79FF" w:rsidRDefault="00571497">
      <w:r w:rsidRPr="009D4D25">
        <w:rPr>
          <w:noProof/>
        </w:rPr>
        <w:object w:dxaOrig="9600" w:dyaOrig="5401" w14:anchorId="505FD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2pt;height:282pt;mso-width-percent:0;mso-height-percent:0;mso-width-percent:0;mso-height-percent:0" o:ole="">
            <v:imagedata r:id="rId7" o:title=""/>
          </v:shape>
          <o:OLEObject Type="Embed" ProgID="AcroExch.Document.DC" ShapeID="_x0000_i1025" DrawAspect="Content" ObjectID="_1685214706" r:id="rId8"/>
        </w:object>
      </w:r>
    </w:p>
    <w:p w14:paraId="68FB7AFA" w14:textId="77777777" w:rsidR="005A79FF" w:rsidRDefault="005A79FF"/>
    <w:p w14:paraId="12A9C6ED" w14:textId="77777777" w:rsidR="00CE02FB" w:rsidRDefault="00833DFE" w:rsidP="00833DFE">
      <w:pPr>
        <w:pStyle w:val="ListParagraph"/>
        <w:numPr>
          <w:ilvl w:val="0"/>
          <w:numId w:val="19"/>
        </w:numPr>
        <w:rPr>
          <w:b/>
        </w:rPr>
      </w:pPr>
      <w:r w:rsidRPr="00833DFE">
        <w:rPr>
          <w:b/>
        </w:rPr>
        <w:t>E</w:t>
      </w:r>
      <w:r>
        <w:rPr>
          <w:b/>
        </w:rPr>
        <w:t xml:space="preserve">uropean </w:t>
      </w:r>
      <w:r w:rsidRPr="00833DFE">
        <w:rPr>
          <w:b/>
        </w:rPr>
        <w:t>I</w:t>
      </w:r>
      <w:r>
        <w:rPr>
          <w:b/>
        </w:rPr>
        <w:t xml:space="preserve">nvestment </w:t>
      </w:r>
      <w:r w:rsidRPr="00833DFE">
        <w:rPr>
          <w:b/>
        </w:rPr>
        <w:t>B</w:t>
      </w:r>
      <w:r>
        <w:rPr>
          <w:b/>
        </w:rPr>
        <w:t>ank</w:t>
      </w:r>
      <w:r w:rsidRPr="00833DFE">
        <w:rPr>
          <w:b/>
        </w:rPr>
        <w:t xml:space="preserve"> in Rwanda</w:t>
      </w:r>
    </w:p>
    <w:p w14:paraId="1641407A" w14:textId="77777777" w:rsidR="00310D2A" w:rsidRDefault="00310D2A" w:rsidP="00310D2A">
      <w:pPr>
        <w:rPr>
          <w:b/>
        </w:rPr>
      </w:pPr>
    </w:p>
    <w:p w14:paraId="60533BA5" w14:textId="7427977F" w:rsidR="00310D2A" w:rsidRDefault="00310D2A" w:rsidP="007330AF">
      <w:pPr>
        <w:jc w:val="both"/>
      </w:pPr>
      <w:r w:rsidRPr="007330AF">
        <w:t>The European Investment Bank</w:t>
      </w:r>
      <w:r w:rsidR="007071FA">
        <w:t xml:space="preserve"> (EIB)</w:t>
      </w:r>
      <w:r w:rsidRPr="007330AF">
        <w:t xml:space="preserve"> has </w:t>
      </w:r>
      <w:r w:rsidR="00DA142E">
        <w:t xml:space="preserve">been </w:t>
      </w:r>
      <w:r w:rsidR="00DA142E" w:rsidRPr="007330AF">
        <w:t>provid</w:t>
      </w:r>
      <w:r w:rsidR="00DA142E">
        <w:t>ing</w:t>
      </w:r>
      <w:r w:rsidR="00DA142E" w:rsidRPr="007330AF">
        <w:t xml:space="preserve"> </w:t>
      </w:r>
      <w:r w:rsidR="00DA142E">
        <w:t xml:space="preserve">around </w:t>
      </w:r>
      <w:r w:rsidRPr="007330AF">
        <w:t xml:space="preserve">RWF </w:t>
      </w:r>
      <w:r w:rsidR="00F77CB4" w:rsidRPr="00292EE3">
        <w:t>80</w:t>
      </w:r>
      <w:r w:rsidRPr="00292EE3">
        <w:t xml:space="preserve"> billion</w:t>
      </w:r>
      <w:r w:rsidRPr="007330AF">
        <w:t xml:space="preserve"> to </w:t>
      </w:r>
      <w:r w:rsidR="00DA142E">
        <w:t xml:space="preserve">the local banking sector in the form of credit lines to boost credit to the </w:t>
      </w:r>
      <w:r w:rsidRPr="007330AF">
        <w:t>private sector</w:t>
      </w:r>
      <w:r w:rsidR="00DA142E">
        <w:t xml:space="preserve">. </w:t>
      </w:r>
    </w:p>
    <w:p w14:paraId="2C6CF430" w14:textId="423F2D3D" w:rsidR="00DA142E" w:rsidRDefault="00DA142E" w:rsidP="007330AF">
      <w:pPr>
        <w:jc w:val="both"/>
      </w:pPr>
      <w:r>
        <w:t xml:space="preserve">The </w:t>
      </w:r>
      <w:r w:rsidR="007071FA">
        <w:t>EIB</w:t>
      </w:r>
      <w:r>
        <w:t xml:space="preserve"> has also been providing direct credit and funding to the private sector for the last years, notabl</w:t>
      </w:r>
      <w:r w:rsidR="007071FA">
        <w:t>y a EUR 9 million loan to Skoll Breweries to support a new packaging line and a EUR 15 million loan to Master Steel to increase the production of quality bars for infrastructure.</w:t>
      </w:r>
      <w:r>
        <w:t xml:space="preserve"> </w:t>
      </w:r>
    </w:p>
    <w:p w14:paraId="0CB765FD" w14:textId="0755B4C7" w:rsidR="007071FA" w:rsidRPr="007330AF" w:rsidRDefault="007071FA" w:rsidP="007330AF">
      <w:pPr>
        <w:jc w:val="both"/>
      </w:pPr>
      <w:r>
        <w:t xml:space="preserve">The EIB also provided a EUR 45 million </w:t>
      </w:r>
      <w:r w:rsidRPr="00292EE3">
        <w:t>sovereign loan to finance the Kigali Central Sewerage project (total cost EUR 96 million, co-funded by African Development Bank), a public sector project undertaken by the Government of Rwanda and the Water and Sanitation Corporation of Rwanda (WASAC).</w:t>
      </w:r>
    </w:p>
    <w:p w14:paraId="74241309" w14:textId="77777777" w:rsidR="00310D2A" w:rsidRDefault="00310D2A" w:rsidP="00310D2A"/>
    <w:tbl>
      <w:tblPr>
        <w:tblStyle w:val="TableGrid"/>
        <w:tblW w:w="9918" w:type="dxa"/>
        <w:tblLook w:val="04A0" w:firstRow="1" w:lastRow="0" w:firstColumn="1" w:lastColumn="0" w:noHBand="0" w:noVBand="1"/>
      </w:tblPr>
      <w:tblGrid>
        <w:gridCol w:w="988"/>
        <w:gridCol w:w="3163"/>
        <w:gridCol w:w="5767"/>
      </w:tblGrid>
      <w:tr w:rsidR="005F4568" w14:paraId="787604F0" w14:textId="77777777" w:rsidTr="005F4568">
        <w:tc>
          <w:tcPr>
            <w:tcW w:w="988" w:type="dxa"/>
          </w:tcPr>
          <w:p w14:paraId="26FB4844" w14:textId="77777777" w:rsidR="005F4568" w:rsidRPr="005F4568" w:rsidRDefault="005F4568" w:rsidP="005F4568">
            <w:pPr>
              <w:jc w:val="center"/>
              <w:rPr>
                <w:b/>
                <w:sz w:val="20"/>
                <w:szCs w:val="20"/>
              </w:rPr>
            </w:pPr>
            <w:r w:rsidRPr="005F4568">
              <w:rPr>
                <w:b/>
                <w:sz w:val="20"/>
                <w:szCs w:val="20"/>
              </w:rPr>
              <w:t>Year</w:t>
            </w:r>
          </w:p>
        </w:tc>
        <w:tc>
          <w:tcPr>
            <w:tcW w:w="3163" w:type="dxa"/>
          </w:tcPr>
          <w:p w14:paraId="11102642" w14:textId="77777777" w:rsidR="005F4568" w:rsidRPr="005F4568" w:rsidRDefault="005F4568" w:rsidP="005F4568">
            <w:pPr>
              <w:jc w:val="center"/>
              <w:rPr>
                <w:b/>
                <w:sz w:val="20"/>
                <w:szCs w:val="20"/>
              </w:rPr>
            </w:pPr>
            <w:r w:rsidRPr="005F4568">
              <w:rPr>
                <w:b/>
                <w:sz w:val="20"/>
                <w:szCs w:val="20"/>
              </w:rPr>
              <w:t>Amount</w:t>
            </w:r>
          </w:p>
        </w:tc>
        <w:tc>
          <w:tcPr>
            <w:tcW w:w="5767" w:type="dxa"/>
          </w:tcPr>
          <w:p w14:paraId="33986561" w14:textId="77777777" w:rsidR="005F4568" w:rsidRPr="005F4568" w:rsidRDefault="005F4568" w:rsidP="005F4568">
            <w:pPr>
              <w:jc w:val="center"/>
              <w:rPr>
                <w:b/>
                <w:sz w:val="20"/>
                <w:szCs w:val="20"/>
              </w:rPr>
            </w:pPr>
            <w:r w:rsidRPr="005F4568">
              <w:rPr>
                <w:b/>
                <w:sz w:val="20"/>
                <w:szCs w:val="20"/>
              </w:rPr>
              <w:t>Support type</w:t>
            </w:r>
          </w:p>
        </w:tc>
      </w:tr>
      <w:tr w:rsidR="005F4568" w14:paraId="2C64CEA4" w14:textId="77777777" w:rsidTr="005F4568">
        <w:tc>
          <w:tcPr>
            <w:tcW w:w="988" w:type="dxa"/>
          </w:tcPr>
          <w:p w14:paraId="62A86F0F" w14:textId="77777777" w:rsidR="005F4568" w:rsidRPr="005F4568" w:rsidRDefault="005F4568" w:rsidP="005F4568">
            <w:pPr>
              <w:jc w:val="center"/>
              <w:rPr>
                <w:b/>
                <w:sz w:val="20"/>
                <w:szCs w:val="20"/>
              </w:rPr>
            </w:pPr>
            <w:r w:rsidRPr="005F4568">
              <w:rPr>
                <w:b/>
                <w:sz w:val="20"/>
                <w:szCs w:val="20"/>
              </w:rPr>
              <w:t>2019</w:t>
            </w:r>
          </w:p>
        </w:tc>
        <w:tc>
          <w:tcPr>
            <w:tcW w:w="3163" w:type="dxa"/>
          </w:tcPr>
          <w:p w14:paraId="72B986A9" w14:textId="77777777" w:rsidR="005F4568" w:rsidRPr="005F4568" w:rsidRDefault="00AC00BE" w:rsidP="005F4568">
            <w:pPr>
              <w:jc w:val="center"/>
              <w:rPr>
                <w:b/>
                <w:sz w:val="20"/>
                <w:szCs w:val="20"/>
              </w:rPr>
            </w:pPr>
            <w:r>
              <w:rPr>
                <w:sz w:val="20"/>
                <w:szCs w:val="20"/>
              </w:rPr>
              <w:t>RWF 3</w:t>
            </w:r>
            <w:r w:rsidR="005F4568" w:rsidRPr="005F4568">
              <w:rPr>
                <w:sz w:val="20"/>
                <w:szCs w:val="20"/>
              </w:rPr>
              <w:t>0 billion</w:t>
            </w:r>
          </w:p>
        </w:tc>
        <w:tc>
          <w:tcPr>
            <w:tcW w:w="5767" w:type="dxa"/>
          </w:tcPr>
          <w:p w14:paraId="526FF708" w14:textId="6E610C9D" w:rsidR="005F4568" w:rsidRPr="005F4568" w:rsidRDefault="007330AF" w:rsidP="005F4568">
            <w:pPr>
              <w:jc w:val="both"/>
              <w:rPr>
                <w:sz w:val="20"/>
                <w:szCs w:val="20"/>
              </w:rPr>
            </w:pPr>
            <w:r w:rsidRPr="007330AF">
              <w:rPr>
                <w:sz w:val="20"/>
                <w:szCs w:val="20"/>
              </w:rPr>
              <w:t xml:space="preserve">The </w:t>
            </w:r>
            <w:r>
              <w:rPr>
                <w:sz w:val="20"/>
                <w:szCs w:val="20"/>
              </w:rPr>
              <w:t>EIB</w:t>
            </w:r>
            <w:r w:rsidRPr="007330AF">
              <w:rPr>
                <w:sz w:val="20"/>
                <w:szCs w:val="20"/>
              </w:rPr>
              <w:t xml:space="preserve"> and</w:t>
            </w:r>
            <w:r>
              <w:rPr>
                <w:sz w:val="20"/>
                <w:szCs w:val="20"/>
              </w:rPr>
              <w:t xml:space="preserve"> Bank of Kigali</w:t>
            </w:r>
            <w:r w:rsidRPr="007330AF">
              <w:rPr>
                <w:sz w:val="20"/>
                <w:szCs w:val="20"/>
              </w:rPr>
              <w:t xml:space="preserve"> announced a joint RWF</w:t>
            </w:r>
            <w:r w:rsidR="00DA142E">
              <w:rPr>
                <w:sz w:val="20"/>
                <w:szCs w:val="20"/>
              </w:rPr>
              <w:t xml:space="preserve"> </w:t>
            </w:r>
            <w:r w:rsidRPr="007330AF">
              <w:rPr>
                <w:sz w:val="20"/>
                <w:szCs w:val="20"/>
              </w:rPr>
              <w:t>60 billion for the Rwandan private sector</w:t>
            </w:r>
            <w:r>
              <w:rPr>
                <w:sz w:val="20"/>
                <w:szCs w:val="20"/>
              </w:rPr>
              <w:t>.</w:t>
            </w:r>
            <w:r w:rsidR="00AC63CC">
              <w:rPr>
                <w:sz w:val="20"/>
                <w:szCs w:val="20"/>
              </w:rPr>
              <w:t xml:space="preserve"> EIB provided </w:t>
            </w:r>
            <w:r w:rsidR="00AC63CC" w:rsidRPr="00AC63CC">
              <w:rPr>
                <w:sz w:val="20"/>
                <w:szCs w:val="20"/>
              </w:rPr>
              <w:t xml:space="preserve">30M euros credit line to </w:t>
            </w:r>
            <w:r w:rsidR="00AC63CC">
              <w:rPr>
                <w:sz w:val="20"/>
                <w:szCs w:val="20"/>
              </w:rPr>
              <w:t xml:space="preserve">Bank of Kigali, while the latter </w:t>
            </w:r>
            <w:r w:rsidR="00AC63CC" w:rsidRPr="00AC63CC">
              <w:rPr>
                <w:sz w:val="20"/>
                <w:szCs w:val="20"/>
              </w:rPr>
              <w:t>committed to add 30M euros from its own funds to increase this fund</w:t>
            </w:r>
            <w:r w:rsidR="00AC63CC">
              <w:rPr>
                <w:sz w:val="20"/>
                <w:szCs w:val="20"/>
              </w:rPr>
              <w:t xml:space="preserve">. </w:t>
            </w:r>
            <w:r w:rsidRPr="007330AF">
              <w:rPr>
                <w:sz w:val="20"/>
                <w:szCs w:val="20"/>
              </w:rPr>
              <w:t>In the framework of that cooperation, the two banks will co-fund agriculture, transport, education, health, manufacturing and tourism sectors.</w:t>
            </w:r>
          </w:p>
        </w:tc>
      </w:tr>
      <w:tr w:rsidR="005F4568" w14:paraId="0C26A095" w14:textId="77777777" w:rsidTr="005F4568">
        <w:tc>
          <w:tcPr>
            <w:tcW w:w="988" w:type="dxa"/>
          </w:tcPr>
          <w:p w14:paraId="32583029" w14:textId="77777777" w:rsidR="005F4568" w:rsidRPr="005F4568" w:rsidRDefault="005F4568" w:rsidP="005F4568">
            <w:pPr>
              <w:jc w:val="center"/>
              <w:rPr>
                <w:b/>
                <w:sz w:val="20"/>
                <w:szCs w:val="20"/>
              </w:rPr>
            </w:pPr>
            <w:r w:rsidRPr="005F4568">
              <w:rPr>
                <w:b/>
                <w:sz w:val="20"/>
                <w:szCs w:val="20"/>
              </w:rPr>
              <w:t>2018</w:t>
            </w:r>
          </w:p>
        </w:tc>
        <w:tc>
          <w:tcPr>
            <w:tcW w:w="3163" w:type="dxa"/>
          </w:tcPr>
          <w:p w14:paraId="7C3C72C7" w14:textId="77777777" w:rsidR="005F4568" w:rsidRPr="005F4568" w:rsidRDefault="005F4568" w:rsidP="005F4568">
            <w:pPr>
              <w:jc w:val="center"/>
              <w:rPr>
                <w:sz w:val="20"/>
                <w:szCs w:val="20"/>
              </w:rPr>
            </w:pPr>
            <w:r w:rsidRPr="005F4568">
              <w:rPr>
                <w:sz w:val="20"/>
                <w:szCs w:val="20"/>
              </w:rPr>
              <w:t>E</w:t>
            </w:r>
            <w:r w:rsidR="00AC00BE">
              <w:rPr>
                <w:sz w:val="20"/>
                <w:szCs w:val="20"/>
              </w:rPr>
              <w:t>UR 14</w:t>
            </w:r>
            <w:r w:rsidRPr="005F4568">
              <w:rPr>
                <w:sz w:val="20"/>
                <w:szCs w:val="20"/>
              </w:rPr>
              <w:t xml:space="preserve"> million</w:t>
            </w:r>
          </w:p>
        </w:tc>
        <w:tc>
          <w:tcPr>
            <w:tcW w:w="5767" w:type="dxa"/>
          </w:tcPr>
          <w:p w14:paraId="360C2CFC" w14:textId="2DEBCB71" w:rsidR="005F4568" w:rsidRPr="005F4568" w:rsidRDefault="005F4568" w:rsidP="00DA142E">
            <w:pPr>
              <w:jc w:val="both"/>
              <w:rPr>
                <w:sz w:val="20"/>
                <w:szCs w:val="20"/>
              </w:rPr>
            </w:pPr>
            <w:r w:rsidRPr="005F4568">
              <w:rPr>
                <w:sz w:val="20"/>
                <w:szCs w:val="20"/>
              </w:rPr>
              <w:t>EIB provided a EUR 14 million credit line with the Development Bank of Rwanda and a USD 10 million lending programme managed locally by I&amp;M Bank and accompanying technical assistance.</w:t>
            </w:r>
          </w:p>
        </w:tc>
      </w:tr>
      <w:tr w:rsidR="005F4568" w14:paraId="35BF20F2" w14:textId="77777777" w:rsidTr="005F4568">
        <w:tc>
          <w:tcPr>
            <w:tcW w:w="988" w:type="dxa"/>
          </w:tcPr>
          <w:p w14:paraId="40EB3039" w14:textId="77777777" w:rsidR="005F4568" w:rsidRPr="005F4568" w:rsidRDefault="00AC00BE" w:rsidP="005F4568">
            <w:pPr>
              <w:jc w:val="center"/>
              <w:rPr>
                <w:b/>
                <w:sz w:val="20"/>
                <w:szCs w:val="20"/>
              </w:rPr>
            </w:pPr>
            <w:r>
              <w:rPr>
                <w:b/>
                <w:sz w:val="20"/>
                <w:szCs w:val="20"/>
              </w:rPr>
              <w:t>2016</w:t>
            </w:r>
          </w:p>
        </w:tc>
        <w:tc>
          <w:tcPr>
            <w:tcW w:w="3163" w:type="dxa"/>
          </w:tcPr>
          <w:p w14:paraId="19A5C81C" w14:textId="77777777" w:rsidR="005F4568" w:rsidRPr="005F4568" w:rsidRDefault="00AC00BE" w:rsidP="005F4568">
            <w:pPr>
              <w:jc w:val="center"/>
              <w:rPr>
                <w:sz w:val="20"/>
                <w:szCs w:val="20"/>
              </w:rPr>
            </w:pPr>
            <w:r>
              <w:rPr>
                <w:sz w:val="20"/>
                <w:szCs w:val="20"/>
              </w:rPr>
              <w:t>EUR 28 million</w:t>
            </w:r>
          </w:p>
        </w:tc>
        <w:tc>
          <w:tcPr>
            <w:tcW w:w="5767" w:type="dxa"/>
          </w:tcPr>
          <w:p w14:paraId="07FAA601" w14:textId="77777777" w:rsidR="005F4568" w:rsidRPr="005F4568" w:rsidRDefault="005F4568" w:rsidP="00AC00BE">
            <w:pPr>
              <w:jc w:val="both"/>
              <w:rPr>
                <w:sz w:val="20"/>
                <w:szCs w:val="20"/>
              </w:rPr>
            </w:pPr>
            <w:r>
              <w:rPr>
                <w:sz w:val="20"/>
                <w:szCs w:val="20"/>
              </w:rPr>
              <w:t>EIB</w:t>
            </w:r>
            <w:r w:rsidRPr="005F4568">
              <w:rPr>
                <w:sz w:val="20"/>
                <w:szCs w:val="20"/>
              </w:rPr>
              <w:t xml:space="preserve"> </w:t>
            </w:r>
            <w:r w:rsidR="00AC00BE">
              <w:rPr>
                <w:sz w:val="20"/>
                <w:szCs w:val="20"/>
              </w:rPr>
              <w:t xml:space="preserve">supported a new lending initiative </w:t>
            </w:r>
            <w:r w:rsidR="00AC00BE" w:rsidRPr="005F4568">
              <w:rPr>
                <w:sz w:val="20"/>
                <w:szCs w:val="20"/>
              </w:rPr>
              <w:t>by Bank of Kigali</w:t>
            </w:r>
            <w:r w:rsidR="00AC00BE">
              <w:rPr>
                <w:sz w:val="20"/>
                <w:szCs w:val="20"/>
              </w:rPr>
              <w:t xml:space="preserve"> </w:t>
            </w:r>
            <w:r w:rsidR="00AC00BE" w:rsidRPr="005F4568">
              <w:rPr>
                <w:sz w:val="20"/>
                <w:szCs w:val="20"/>
              </w:rPr>
              <w:t xml:space="preserve">to back private </w:t>
            </w:r>
            <w:r w:rsidR="00AC00BE">
              <w:rPr>
                <w:sz w:val="20"/>
                <w:szCs w:val="20"/>
              </w:rPr>
              <w:t xml:space="preserve">sector investment across Rwanda. EIB provided </w:t>
            </w:r>
            <w:r w:rsidRPr="005F4568">
              <w:rPr>
                <w:sz w:val="20"/>
                <w:szCs w:val="20"/>
              </w:rPr>
              <w:t>EUR 28 million, alongside EUR 28 million be</w:t>
            </w:r>
            <w:r w:rsidR="00AC00BE">
              <w:rPr>
                <w:sz w:val="20"/>
                <w:szCs w:val="20"/>
              </w:rPr>
              <w:t>ing provided by Bank of Kigali.</w:t>
            </w:r>
          </w:p>
        </w:tc>
      </w:tr>
    </w:tbl>
    <w:p w14:paraId="73CE1723" w14:textId="77777777" w:rsidR="00671AA2" w:rsidRDefault="00671AA2" w:rsidP="00671AA2"/>
    <w:p w14:paraId="445A9FE9" w14:textId="77777777" w:rsidR="00671AA2" w:rsidRDefault="00671AA2" w:rsidP="00671AA2"/>
    <w:p w14:paraId="63B593C5" w14:textId="77777777" w:rsidR="00671AA2" w:rsidRDefault="00671AA2" w:rsidP="00671AA2"/>
    <w:p w14:paraId="47F2DC82" w14:textId="77777777" w:rsidR="00671AA2" w:rsidRDefault="00671AA2" w:rsidP="00671AA2"/>
    <w:p w14:paraId="0727B034" w14:textId="77777777" w:rsidR="00671AA2" w:rsidRDefault="00671AA2" w:rsidP="00671AA2"/>
    <w:p w14:paraId="189F63F4" w14:textId="77777777" w:rsidR="00671AA2" w:rsidRDefault="00671AA2" w:rsidP="00671AA2"/>
    <w:sectPr w:rsidR="00671AA2" w:rsidSect="00D776A1">
      <w:pgSz w:w="11906" w:h="16838"/>
      <w:pgMar w:top="1440" w:right="1134" w:bottom="1134"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1FE3"/>
    <w:multiLevelType w:val="hybridMultilevel"/>
    <w:tmpl w:val="00BA46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E31A25"/>
    <w:multiLevelType w:val="hybridMultilevel"/>
    <w:tmpl w:val="4B2080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2686B"/>
    <w:multiLevelType w:val="hybridMultilevel"/>
    <w:tmpl w:val="1FC67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71D1F"/>
    <w:multiLevelType w:val="hybridMultilevel"/>
    <w:tmpl w:val="CC4CFC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D73BB"/>
    <w:multiLevelType w:val="hybridMultilevel"/>
    <w:tmpl w:val="30022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81108"/>
    <w:multiLevelType w:val="hybridMultilevel"/>
    <w:tmpl w:val="04626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F55CE7"/>
    <w:multiLevelType w:val="hybridMultilevel"/>
    <w:tmpl w:val="C0A2B7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6485C"/>
    <w:multiLevelType w:val="hybridMultilevel"/>
    <w:tmpl w:val="53F44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073E07"/>
    <w:multiLevelType w:val="hybridMultilevel"/>
    <w:tmpl w:val="81229E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9B7DC6"/>
    <w:multiLevelType w:val="hybridMultilevel"/>
    <w:tmpl w:val="88362462"/>
    <w:lvl w:ilvl="0" w:tplc="8D22C1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9170AE1"/>
    <w:multiLevelType w:val="hybridMultilevel"/>
    <w:tmpl w:val="8E1AE6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C9D2DC0"/>
    <w:multiLevelType w:val="hybridMultilevel"/>
    <w:tmpl w:val="BDD29A32"/>
    <w:lvl w:ilvl="0" w:tplc="1322730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DE024EB"/>
    <w:multiLevelType w:val="hybridMultilevel"/>
    <w:tmpl w:val="37AC3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1B5108"/>
    <w:multiLevelType w:val="hybridMultilevel"/>
    <w:tmpl w:val="A6827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76900CB"/>
    <w:multiLevelType w:val="hybridMultilevel"/>
    <w:tmpl w:val="D9CE2D9C"/>
    <w:lvl w:ilvl="0" w:tplc="01A8DE00">
      <w:start w:val="1"/>
      <w:numFmt w:val="upperRoman"/>
      <w:lvlText w:val="%1."/>
      <w:lvlJc w:val="right"/>
      <w:pPr>
        <w:ind w:left="720" w:hanging="360"/>
      </w:pPr>
      <w:rPr>
        <w:b/>
        <w:color w:val="1F4E79" w:themeColor="accent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A74B7B"/>
    <w:multiLevelType w:val="multilevel"/>
    <w:tmpl w:val="CB76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A581E"/>
    <w:multiLevelType w:val="hybridMultilevel"/>
    <w:tmpl w:val="9ECEC0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D4EAE"/>
    <w:multiLevelType w:val="hybridMultilevel"/>
    <w:tmpl w:val="225ED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032D2"/>
    <w:multiLevelType w:val="hybridMultilevel"/>
    <w:tmpl w:val="AA6C9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455651"/>
    <w:multiLevelType w:val="hybridMultilevel"/>
    <w:tmpl w:val="313AD4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53D6C24"/>
    <w:multiLevelType w:val="hybridMultilevel"/>
    <w:tmpl w:val="5A306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3F292F"/>
    <w:multiLevelType w:val="hybridMultilevel"/>
    <w:tmpl w:val="D2EE7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6D0863"/>
    <w:multiLevelType w:val="hybridMultilevel"/>
    <w:tmpl w:val="9B22074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E361C8"/>
    <w:multiLevelType w:val="hybridMultilevel"/>
    <w:tmpl w:val="FA16AC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B437F57"/>
    <w:multiLevelType w:val="hybridMultilevel"/>
    <w:tmpl w:val="FA1C859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EE6399"/>
    <w:multiLevelType w:val="hybridMultilevel"/>
    <w:tmpl w:val="C19AA506"/>
    <w:lvl w:ilvl="0" w:tplc="584A749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431F51"/>
    <w:multiLevelType w:val="hybridMultilevel"/>
    <w:tmpl w:val="5FC0C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F65FB3"/>
    <w:multiLevelType w:val="hybridMultilevel"/>
    <w:tmpl w:val="1FFE9C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087383"/>
    <w:multiLevelType w:val="hybridMultilevel"/>
    <w:tmpl w:val="801C4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0F35C0"/>
    <w:multiLevelType w:val="hybridMultilevel"/>
    <w:tmpl w:val="6E567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404A8"/>
    <w:multiLevelType w:val="hybridMultilevel"/>
    <w:tmpl w:val="A06CD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5533F9"/>
    <w:multiLevelType w:val="hybridMultilevel"/>
    <w:tmpl w:val="3BA2321A"/>
    <w:lvl w:ilvl="0" w:tplc="6CC675C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EA6F9A"/>
    <w:multiLevelType w:val="hybridMultilevel"/>
    <w:tmpl w:val="8870D48C"/>
    <w:lvl w:ilvl="0" w:tplc="A5C897F0">
      <w:start w:val="1"/>
      <w:numFmt w:val="bullet"/>
      <w:lvlText w:val="•"/>
      <w:lvlJc w:val="left"/>
      <w:pPr>
        <w:tabs>
          <w:tab w:val="num" w:pos="720"/>
        </w:tabs>
        <w:ind w:left="720" w:hanging="360"/>
      </w:pPr>
      <w:rPr>
        <w:rFonts w:ascii="Arial" w:hAnsi="Arial" w:hint="default"/>
      </w:rPr>
    </w:lvl>
    <w:lvl w:ilvl="1" w:tplc="76726E78" w:tentative="1">
      <w:start w:val="1"/>
      <w:numFmt w:val="bullet"/>
      <w:lvlText w:val="•"/>
      <w:lvlJc w:val="left"/>
      <w:pPr>
        <w:tabs>
          <w:tab w:val="num" w:pos="1440"/>
        </w:tabs>
        <w:ind w:left="1440" w:hanging="360"/>
      </w:pPr>
      <w:rPr>
        <w:rFonts w:ascii="Arial" w:hAnsi="Arial" w:hint="default"/>
      </w:rPr>
    </w:lvl>
    <w:lvl w:ilvl="2" w:tplc="6CF2FC9C" w:tentative="1">
      <w:start w:val="1"/>
      <w:numFmt w:val="bullet"/>
      <w:lvlText w:val="•"/>
      <w:lvlJc w:val="left"/>
      <w:pPr>
        <w:tabs>
          <w:tab w:val="num" w:pos="2160"/>
        </w:tabs>
        <w:ind w:left="2160" w:hanging="360"/>
      </w:pPr>
      <w:rPr>
        <w:rFonts w:ascii="Arial" w:hAnsi="Arial" w:hint="default"/>
      </w:rPr>
    </w:lvl>
    <w:lvl w:ilvl="3" w:tplc="B69E7038" w:tentative="1">
      <w:start w:val="1"/>
      <w:numFmt w:val="bullet"/>
      <w:lvlText w:val="•"/>
      <w:lvlJc w:val="left"/>
      <w:pPr>
        <w:tabs>
          <w:tab w:val="num" w:pos="2880"/>
        </w:tabs>
        <w:ind w:left="2880" w:hanging="360"/>
      </w:pPr>
      <w:rPr>
        <w:rFonts w:ascii="Arial" w:hAnsi="Arial" w:hint="default"/>
      </w:rPr>
    </w:lvl>
    <w:lvl w:ilvl="4" w:tplc="AB3CCFEE" w:tentative="1">
      <w:start w:val="1"/>
      <w:numFmt w:val="bullet"/>
      <w:lvlText w:val="•"/>
      <w:lvlJc w:val="left"/>
      <w:pPr>
        <w:tabs>
          <w:tab w:val="num" w:pos="3600"/>
        </w:tabs>
        <w:ind w:left="3600" w:hanging="360"/>
      </w:pPr>
      <w:rPr>
        <w:rFonts w:ascii="Arial" w:hAnsi="Arial" w:hint="default"/>
      </w:rPr>
    </w:lvl>
    <w:lvl w:ilvl="5" w:tplc="6596966A" w:tentative="1">
      <w:start w:val="1"/>
      <w:numFmt w:val="bullet"/>
      <w:lvlText w:val="•"/>
      <w:lvlJc w:val="left"/>
      <w:pPr>
        <w:tabs>
          <w:tab w:val="num" w:pos="4320"/>
        </w:tabs>
        <w:ind w:left="4320" w:hanging="360"/>
      </w:pPr>
      <w:rPr>
        <w:rFonts w:ascii="Arial" w:hAnsi="Arial" w:hint="default"/>
      </w:rPr>
    </w:lvl>
    <w:lvl w:ilvl="6" w:tplc="0F6AD3CA" w:tentative="1">
      <w:start w:val="1"/>
      <w:numFmt w:val="bullet"/>
      <w:lvlText w:val="•"/>
      <w:lvlJc w:val="left"/>
      <w:pPr>
        <w:tabs>
          <w:tab w:val="num" w:pos="5040"/>
        </w:tabs>
        <w:ind w:left="5040" w:hanging="360"/>
      </w:pPr>
      <w:rPr>
        <w:rFonts w:ascii="Arial" w:hAnsi="Arial" w:hint="default"/>
      </w:rPr>
    </w:lvl>
    <w:lvl w:ilvl="7" w:tplc="72EC2A88" w:tentative="1">
      <w:start w:val="1"/>
      <w:numFmt w:val="bullet"/>
      <w:lvlText w:val="•"/>
      <w:lvlJc w:val="left"/>
      <w:pPr>
        <w:tabs>
          <w:tab w:val="num" w:pos="5760"/>
        </w:tabs>
        <w:ind w:left="5760" w:hanging="360"/>
      </w:pPr>
      <w:rPr>
        <w:rFonts w:ascii="Arial" w:hAnsi="Arial" w:hint="default"/>
      </w:rPr>
    </w:lvl>
    <w:lvl w:ilvl="8" w:tplc="0A325DD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04F7574"/>
    <w:multiLevelType w:val="hybridMultilevel"/>
    <w:tmpl w:val="70E436E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B31F6"/>
    <w:multiLevelType w:val="hybridMultilevel"/>
    <w:tmpl w:val="D6E8FF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25324B"/>
    <w:multiLevelType w:val="hybridMultilevel"/>
    <w:tmpl w:val="23503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BB7CF3"/>
    <w:multiLevelType w:val="hybridMultilevel"/>
    <w:tmpl w:val="9F225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0C2A3A"/>
    <w:multiLevelType w:val="hybridMultilevel"/>
    <w:tmpl w:val="5D38A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187E83"/>
    <w:multiLevelType w:val="hybridMultilevel"/>
    <w:tmpl w:val="9A949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0E1A12"/>
    <w:multiLevelType w:val="hybridMultilevel"/>
    <w:tmpl w:val="D6924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30"/>
  </w:num>
  <w:num w:numId="4">
    <w:abstractNumId w:val="32"/>
  </w:num>
  <w:num w:numId="5">
    <w:abstractNumId w:val="11"/>
  </w:num>
  <w:num w:numId="6">
    <w:abstractNumId w:val="31"/>
  </w:num>
  <w:num w:numId="7">
    <w:abstractNumId w:val="37"/>
  </w:num>
  <w:num w:numId="8">
    <w:abstractNumId w:val="13"/>
  </w:num>
  <w:num w:numId="9">
    <w:abstractNumId w:val="0"/>
  </w:num>
  <w:num w:numId="10">
    <w:abstractNumId w:val="15"/>
  </w:num>
  <w:num w:numId="11">
    <w:abstractNumId w:val="6"/>
  </w:num>
  <w:num w:numId="12">
    <w:abstractNumId w:val="18"/>
  </w:num>
  <w:num w:numId="13">
    <w:abstractNumId w:val="38"/>
  </w:num>
  <w:num w:numId="14">
    <w:abstractNumId w:val="34"/>
  </w:num>
  <w:num w:numId="15">
    <w:abstractNumId w:val="16"/>
  </w:num>
  <w:num w:numId="16">
    <w:abstractNumId w:val="9"/>
  </w:num>
  <w:num w:numId="17">
    <w:abstractNumId w:val="2"/>
  </w:num>
  <w:num w:numId="18">
    <w:abstractNumId w:val="1"/>
  </w:num>
  <w:num w:numId="19">
    <w:abstractNumId w:val="20"/>
  </w:num>
  <w:num w:numId="20">
    <w:abstractNumId w:val="8"/>
  </w:num>
  <w:num w:numId="21">
    <w:abstractNumId w:val="25"/>
  </w:num>
  <w:num w:numId="22">
    <w:abstractNumId w:val="23"/>
  </w:num>
  <w:num w:numId="23">
    <w:abstractNumId w:val="19"/>
  </w:num>
  <w:num w:numId="24">
    <w:abstractNumId w:val="33"/>
  </w:num>
  <w:num w:numId="25">
    <w:abstractNumId w:val="22"/>
  </w:num>
  <w:num w:numId="26">
    <w:abstractNumId w:val="24"/>
  </w:num>
  <w:num w:numId="27">
    <w:abstractNumId w:val="39"/>
  </w:num>
  <w:num w:numId="28">
    <w:abstractNumId w:val="10"/>
  </w:num>
  <w:num w:numId="29">
    <w:abstractNumId w:val="17"/>
  </w:num>
  <w:num w:numId="30">
    <w:abstractNumId w:val="5"/>
  </w:num>
  <w:num w:numId="31">
    <w:abstractNumId w:val="7"/>
  </w:num>
  <w:num w:numId="32">
    <w:abstractNumId w:val="12"/>
  </w:num>
  <w:num w:numId="33">
    <w:abstractNumId w:val="4"/>
  </w:num>
  <w:num w:numId="34">
    <w:abstractNumId w:val="14"/>
  </w:num>
  <w:num w:numId="35">
    <w:abstractNumId w:val="26"/>
  </w:num>
  <w:num w:numId="36">
    <w:abstractNumId w:val="3"/>
  </w:num>
  <w:num w:numId="37">
    <w:abstractNumId w:val="27"/>
  </w:num>
  <w:num w:numId="38">
    <w:abstractNumId w:val="35"/>
  </w:num>
  <w:num w:numId="39">
    <w:abstractNumId w:val="29"/>
  </w:num>
  <w:num w:numId="40">
    <w:abstractNumId w:val="28"/>
  </w:num>
  <w:num w:numId="41">
    <w:abstractNumId w:val="2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285ECE"/>
    <w:rsid w:val="000131BF"/>
    <w:rsid w:val="00054488"/>
    <w:rsid w:val="00063AD2"/>
    <w:rsid w:val="0009266E"/>
    <w:rsid w:val="000B4293"/>
    <w:rsid w:val="000F4BD4"/>
    <w:rsid w:val="0010197F"/>
    <w:rsid w:val="001049DB"/>
    <w:rsid w:val="00144F1F"/>
    <w:rsid w:val="00155974"/>
    <w:rsid w:val="00165DD1"/>
    <w:rsid w:val="001969A3"/>
    <w:rsid w:val="001B1B3D"/>
    <w:rsid w:val="00220FE6"/>
    <w:rsid w:val="00234CE9"/>
    <w:rsid w:val="00261970"/>
    <w:rsid w:val="00262BF1"/>
    <w:rsid w:val="00282C90"/>
    <w:rsid w:val="00285ECE"/>
    <w:rsid w:val="00292EE3"/>
    <w:rsid w:val="002949EB"/>
    <w:rsid w:val="002B78B6"/>
    <w:rsid w:val="002F3B02"/>
    <w:rsid w:val="002F5DB6"/>
    <w:rsid w:val="00310D2A"/>
    <w:rsid w:val="00336D35"/>
    <w:rsid w:val="00364BE8"/>
    <w:rsid w:val="00381AAB"/>
    <w:rsid w:val="00385973"/>
    <w:rsid w:val="003E2AC3"/>
    <w:rsid w:val="003E57AD"/>
    <w:rsid w:val="003E5C5D"/>
    <w:rsid w:val="00450771"/>
    <w:rsid w:val="00453366"/>
    <w:rsid w:val="0045450F"/>
    <w:rsid w:val="004835EB"/>
    <w:rsid w:val="004A009E"/>
    <w:rsid w:val="004B45FE"/>
    <w:rsid w:val="004B46E8"/>
    <w:rsid w:val="004C4350"/>
    <w:rsid w:val="004C60B1"/>
    <w:rsid w:val="004C68F4"/>
    <w:rsid w:val="004E254C"/>
    <w:rsid w:val="005060AF"/>
    <w:rsid w:val="005210AD"/>
    <w:rsid w:val="00526EE7"/>
    <w:rsid w:val="005362E4"/>
    <w:rsid w:val="00541B70"/>
    <w:rsid w:val="00571497"/>
    <w:rsid w:val="00577957"/>
    <w:rsid w:val="00581168"/>
    <w:rsid w:val="00581542"/>
    <w:rsid w:val="00593641"/>
    <w:rsid w:val="005A1296"/>
    <w:rsid w:val="005A1985"/>
    <w:rsid w:val="005A79FF"/>
    <w:rsid w:val="005C76AA"/>
    <w:rsid w:val="005E0B98"/>
    <w:rsid w:val="005E10EB"/>
    <w:rsid w:val="005E565D"/>
    <w:rsid w:val="005F0B4D"/>
    <w:rsid w:val="005F0EF3"/>
    <w:rsid w:val="005F4568"/>
    <w:rsid w:val="006073CF"/>
    <w:rsid w:val="0063640E"/>
    <w:rsid w:val="00643528"/>
    <w:rsid w:val="00644531"/>
    <w:rsid w:val="00644596"/>
    <w:rsid w:val="006516AD"/>
    <w:rsid w:val="00651744"/>
    <w:rsid w:val="00653670"/>
    <w:rsid w:val="00671047"/>
    <w:rsid w:val="00671AA2"/>
    <w:rsid w:val="00672936"/>
    <w:rsid w:val="00674F52"/>
    <w:rsid w:val="006806FB"/>
    <w:rsid w:val="006910B2"/>
    <w:rsid w:val="006A617C"/>
    <w:rsid w:val="006B10C7"/>
    <w:rsid w:val="006C21E6"/>
    <w:rsid w:val="006D0A51"/>
    <w:rsid w:val="006E0699"/>
    <w:rsid w:val="0070304B"/>
    <w:rsid w:val="007071FA"/>
    <w:rsid w:val="0071086F"/>
    <w:rsid w:val="007128B2"/>
    <w:rsid w:val="00712991"/>
    <w:rsid w:val="00720CBF"/>
    <w:rsid w:val="0072666F"/>
    <w:rsid w:val="00731F4A"/>
    <w:rsid w:val="007330AF"/>
    <w:rsid w:val="0073425B"/>
    <w:rsid w:val="00734CDD"/>
    <w:rsid w:val="00745B60"/>
    <w:rsid w:val="007505BE"/>
    <w:rsid w:val="00765365"/>
    <w:rsid w:val="00775F13"/>
    <w:rsid w:val="0078307F"/>
    <w:rsid w:val="00786D81"/>
    <w:rsid w:val="0079481E"/>
    <w:rsid w:val="007A4F5F"/>
    <w:rsid w:val="007B2751"/>
    <w:rsid w:val="007C776A"/>
    <w:rsid w:val="007E3AD0"/>
    <w:rsid w:val="007E763A"/>
    <w:rsid w:val="008203D7"/>
    <w:rsid w:val="008236C2"/>
    <w:rsid w:val="00833DFE"/>
    <w:rsid w:val="00836B3D"/>
    <w:rsid w:val="0084191D"/>
    <w:rsid w:val="008535EC"/>
    <w:rsid w:val="008A5798"/>
    <w:rsid w:val="008C074C"/>
    <w:rsid w:val="008C614B"/>
    <w:rsid w:val="008D288D"/>
    <w:rsid w:val="008D40B7"/>
    <w:rsid w:val="008D4BD4"/>
    <w:rsid w:val="008E7B22"/>
    <w:rsid w:val="0091228A"/>
    <w:rsid w:val="00913AD3"/>
    <w:rsid w:val="009310F5"/>
    <w:rsid w:val="00934CAA"/>
    <w:rsid w:val="00951DC5"/>
    <w:rsid w:val="00961B38"/>
    <w:rsid w:val="00966E5B"/>
    <w:rsid w:val="0097275D"/>
    <w:rsid w:val="00976329"/>
    <w:rsid w:val="00984878"/>
    <w:rsid w:val="009B043D"/>
    <w:rsid w:val="009B6559"/>
    <w:rsid w:val="009C7B81"/>
    <w:rsid w:val="009D4D25"/>
    <w:rsid w:val="009E2D13"/>
    <w:rsid w:val="009E73C9"/>
    <w:rsid w:val="009F0656"/>
    <w:rsid w:val="00A00318"/>
    <w:rsid w:val="00A02874"/>
    <w:rsid w:val="00A056E1"/>
    <w:rsid w:val="00A266B4"/>
    <w:rsid w:val="00A337A0"/>
    <w:rsid w:val="00A42550"/>
    <w:rsid w:val="00A53592"/>
    <w:rsid w:val="00A5687C"/>
    <w:rsid w:val="00A66857"/>
    <w:rsid w:val="00A82729"/>
    <w:rsid w:val="00AA5384"/>
    <w:rsid w:val="00AA569A"/>
    <w:rsid w:val="00AC00BE"/>
    <w:rsid w:val="00AC63CC"/>
    <w:rsid w:val="00AF10C5"/>
    <w:rsid w:val="00B3715E"/>
    <w:rsid w:val="00B375E0"/>
    <w:rsid w:val="00B411DF"/>
    <w:rsid w:val="00B573E6"/>
    <w:rsid w:val="00B67AFB"/>
    <w:rsid w:val="00B73ACC"/>
    <w:rsid w:val="00B94002"/>
    <w:rsid w:val="00BA0B2E"/>
    <w:rsid w:val="00BA3B6C"/>
    <w:rsid w:val="00BA663B"/>
    <w:rsid w:val="00BA7BBB"/>
    <w:rsid w:val="00BB0EAF"/>
    <w:rsid w:val="00BC4010"/>
    <w:rsid w:val="00C165C9"/>
    <w:rsid w:val="00C217BD"/>
    <w:rsid w:val="00C42B54"/>
    <w:rsid w:val="00C465EF"/>
    <w:rsid w:val="00C7127C"/>
    <w:rsid w:val="00C77F74"/>
    <w:rsid w:val="00C8232E"/>
    <w:rsid w:val="00C83386"/>
    <w:rsid w:val="00CD4319"/>
    <w:rsid w:val="00CE02FB"/>
    <w:rsid w:val="00CE11B4"/>
    <w:rsid w:val="00CE4A75"/>
    <w:rsid w:val="00CF3538"/>
    <w:rsid w:val="00D07FCB"/>
    <w:rsid w:val="00D40597"/>
    <w:rsid w:val="00D46920"/>
    <w:rsid w:val="00D46C02"/>
    <w:rsid w:val="00D62C6A"/>
    <w:rsid w:val="00D64298"/>
    <w:rsid w:val="00D67B1C"/>
    <w:rsid w:val="00D705F5"/>
    <w:rsid w:val="00D776A1"/>
    <w:rsid w:val="00D9423F"/>
    <w:rsid w:val="00D977D8"/>
    <w:rsid w:val="00DA142E"/>
    <w:rsid w:val="00DA4A20"/>
    <w:rsid w:val="00DB2E0D"/>
    <w:rsid w:val="00DC0CEF"/>
    <w:rsid w:val="00DC4851"/>
    <w:rsid w:val="00DC7A22"/>
    <w:rsid w:val="00DE16B0"/>
    <w:rsid w:val="00DE6425"/>
    <w:rsid w:val="00E06910"/>
    <w:rsid w:val="00E07EC9"/>
    <w:rsid w:val="00E131F0"/>
    <w:rsid w:val="00E36114"/>
    <w:rsid w:val="00E4430C"/>
    <w:rsid w:val="00E47ADA"/>
    <w:rsid w:val="00E641CE"/>
    <w:rsid w:val="00E75790"/>
    <w:rsid w:val="00EA0EC1"/>
    <w:rsid w:val="00EA113C"/>
    <w:rsid w:val="00EB493C"/>
    <w:rsid w:val="00EC0052"/>
    <w:rsid w:val="00EC3E1C"/>
    <w:rsid w:val="00EC57BC"/>
    <w:rsid w:val="00ED01F0"/>
    <w:rsid w:val="00EE2F12"/>
    <w:rsid w:val="00EF7B8D"/>
    <w:rsid w:val="00F154ED"/>
    <w:rsid w:val="00F21948"/>
    <w:rsid w:val="00F55BB0"/>
    <w:rsid w:val="00F600EC"/>
    <w:rsid w:val="00F7280F"/>
    <w:rsid w:val="00F77CB4"/>
    <w:rsid w:val="00F847DE"/>
    <w:rsid w:val="00F936CB"/>
    <w:rsid w:val="00FB5D76"/>
    <w:rsid w:val="00FD1BD8"/>
    <w:rsid w:val="00FE2BE0"/>
    <w:rsid w:val="00FF1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7EE1"/>
  <w15:chartTrackingRefBased/>
  <w15:docId w15:val="{CFEE6EE7-FE6D-4F5A-B654-2C3A08A1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C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E3"/>
    <w:pPr>
      <w:ind w:left="720"/>
    </w:pPr>
  </w:style>
  <w:style w:type="paragraph" w:customStyle="1" w:styleId="OpenQuestionAnswer">
    <w:name w:val="Open Question Answer"/>
    <w:basedOn w:val="Normal"/>
    <w:link w:val="OpenQuestionAnswerChar"/>
    <w:qFormat/>
    <w:rsid w:val="005A79FF"/>
    <w:pPr>
      <w:pBdr>
        <w:left w:val="dotted" w:sz="4" w:space="4" w:color="C5E0B3" w:themeColor="accent6" w:themeTint="66"/>
        <w:right w:val="dotted" w:sz="4" w:space="4" w:color="C5E0B3" w:themeColor="accent6" w:themeTint="66"/>
      </w:pBdr>
      <w:shd w:val="clear" w:color="auto" w:fill="FEFFE7"/>
      <w:spacing w:line="264" w:lineRule="auto"/>
      <w:ind w:left="170"/>
      <w:jc w:val="both"/>
    </w:pPr>
    <w:rPr>
      <w:rFonts w:ascii="Cambria" w:eastAsiaTheme="minorEastAsia" w:hAnsi="Cambria" w:cstheme="minorBidi"/>
      <w:color w:val="1F4E79" w:themeColor="accent1" w:themeShade="80"/>
      <w:sz w:val="21"/>
      <w:szCs w:val="21"/>
    </w:rPr>
  </w:style>
  <w:style w:type="character" w:customStyle="1" w:styleId="OpenQuestionAnswerChar">
    <w:name w:val="Open Question Answer Char"/>
    <w:basedOn w:val="DefaultParagraphFont"/>
    <w:link w:val="OpenQuestionAnswer"/>
    <w:rsid w:val="005A79FF"/>
    <w:rPr>
      <w:rFonts w:ascii="Cambria" w:eastAsiaTheme="minorEastAsia" w:hAnsi="Cambria"/>
      <w:color w:val="1F4E79" w:themeColor="accent1" w:themeShade="80"/>
      <w:sz w:val="21"/>
      <w:szCs w:val="21"/>
      <w:shd w:val="clear" w:color="auto" w:fill="FEFFE7"/>
    </w:rPr>
  </w:style>
  <w:style w:type="paragraph" w:customStyle="1" w:styleId="Default">
    <w:name w:val="Default"/>
    <w:rsid w:val="00381A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66E5B"/>
    <w:pPr>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61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B38"/>
    <w:rPr>
      <w:rFonts w:ascii="Segoe UI" w:hAnsi="Segoe UI" w:cs="Segoe UI"/>
      <w:sz w:val="18"/>
      <w:szCs w:val="18"/>
    </w:rPr>
  </w:style>
  <w:style w:type="table" w:styleId="TableGrid">
    <w:name w:val="Table Grid"/>
    <w:basedOn w:val="TableNormal"/>
    <w:uiPriority w:val="39"/>
    <w:rsid w:val="0067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5974"/>
    <w:rPr>
      <w:sz w:val="16"/>
      <w:szCs w:val="16"/>
    </w:rPr>
  </w:style>
  <w:style w:type="paragraph" w:styleId="CommentText">
    <w:name w:val="annotation text"/>
    <w:basedOn w:val="Normal"/>
    <w:link w:val="CommentTextChar"/>
    <w:uiPriority w:val="99"/>
    <w:semiHidden/>
    <w:unhideWhenUsed/>
    <w:rsid w:val="00155974"/>
    <w:rPr>
      <w:sz w:val="20"/>
      <w:szCs w:val="20"/>
    </w:rPr>
  </w:style>
  <w:style w:type="character" w:customStyle="1" w:styleId="CommentTextChar">
    <w:name w:val="Comment Text Char"/>
    <w:basedOn w:val="DefaultParagraphFont"/>
    <w:link w:val="CommentText"/>
    <w:uiPriority w:val="99"/>
    <w:semiHidden/>
    <w:rsid w:val="0015597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55974"/>
    <w:rPr>
      <w:b/>
      <w:bCs/>
    </w:rPr>
  </w:style>
  <w:style w:type="character" w:customStyle="1" w:styleId="CommentSubjectChar">
    <w:name w:val="Comment Subject Char"/>
    <w:basedOn w:val="CommentTextChar"/>
    <w:link w:val="CommentSubject"/>
    <w:uiPriority w:val="99"/>
    <w:semiHidden/>
    <w:rsid w:val="00155974"/>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7158">
      <w:bodyDiv w:val="1"/>
      <w:marLeft w:val="0"/>
      <w:marRight w:val="0"/>
      <w:marTop w:val="0"/>
      <w:marBottom w:val="0"/>
      <w:divBdr>
        <w:top w:val="none" w:sz="0" w:space="0" w:color="auto"/>
        <w:left w:val="none" w:sz="0" w:space="0" w:color="auto"/>
        <w:bottom w:val="none" w:sz="0" w:space="0" w:color="auto"/>
        <w:right w:val="none" w:sz="0" w:space="0" w:color="auto"/>
      </w:divBdr>
    </w:div>
    <w:div w:id="105659022">
      <w:bodyDiv w:val="1"/>
      <w:marLeft w:val="0"/>
      <w:marRight w:val="0"/>
      <w:marTop w:val="0"/>
      <w:marBottom w:val="0"/>
      <w:divBdr>
        <w:top w:val="none" w:sz="0" w:space="0" w:color="auto"/>
        <w:left w:val="none" w:sz="0" w:space="0" w:color="auto"/>
        <w:bottom w:val="none" w:sz="0" w:space="0" w:color="auto"/>
        <w:right w:val="none" w:sz="0" w:space="0" w:color="auto"/>
      </w:divBdr>
    </w:div>
    <w:div w:id="182863549">
      <w:bodyDiv w:val="1"/>
      <w:marLeft w:val="0"/>
      <w:marRight w:val="0"/>
      <w:marTop w:val="0"/>
      <w:marBottom w:val="0"/>
      <w:divBdr>
        <w:top w:val="none" w:sz="0" w:space="0" w:color="auto"/>
        <w:left w:val="none" w:sz="0" w:space="0" w:color="auto"/>
        <w:bottom w:val="none" w:sz="0" w:space="0" w:color="auto"/>
        <w:right w:val="none" w:sz="0" w:space="0" w:color="auto"/>
      </w:divBdr>
    </w:div>
    <w:div w:id="652370868">
      <w:bodyDiv w:val="1"/>
      <w:marLeft w:val="0"/>
      <w:marRight w:val="0"/>
      <w:marTop w:val="0"/>
      <w:marBottom w:val="0"/>
      <w:divBdr>
        <w:top w:val="none" w:sz="0" w:space="0" w:color="auto"/>
        <w:left w:val="none" w:sz="0" w:space="0" w:color="auto"/>
        <w:bottom w:val="none" w:sz="0" w:space="0" w:color="auto"/>
        <w:right w:val="none" w:sz="0" w:space="0" w:color="auto"/>
      </w:divBdr>
    </w:div>
    <w:div w:id="697970584">
      <w:bodyDiv w:val="1"/>
      <w:marLeft w:val="0"/>
      <w:marRight w:val="0"/>
      <w:marTop w:val="0"/>
      <w:marBottom w:val="0"/>
      <w:divBdr>
        <w:top w:val="none" w:sz="0" w:space="0" w:color="auto"/>
        <w:left w:val="none" w:sz="0" w:space="0" w:color="auto"/>
        <w:bottom w:val="none" w:sz="0" w:space="0" w:color="auto"/>
        <w:right w:val="none" w:sz="0" w:space="0" w:color="auto"/>
      </w:divBdr>
    </w:div>
    <w:div w:id="767316546">
      <w:bodyDiv w:val="1"/>
      <w:marLeft w:val="0"/>
      <w:marRight w:val="0"/>
      <w:marTop w:val="0"/>
      <w:marBottom w:val="0"/>
      <w:divBdr>
        <w:top w:val="none" w:sz="0" w:space="0" w:color="auto"/>
        <w:left w:val="none" w:sz="0" w:space="0" w:color="auto"/>
        <w:bottom w:val="none" w:sz="0" w:space="0" w:color="auto"/>
        <w:right w:val="none" w:sz="0" w:space="0" w:color="auto"/>
      </w:divBdr>
      <w:divsChild>
        <w:div w:id="1451239691">
          <w:marLeft w:val="360"/>
          <w:marRight w:val="0"/>
          <w:marTop w:val="200"/>
          <w:marBottom w:val="0"/>
          <w:divBdr>
            <w:top w:val="none" w:sz="0" w:space="0" w:color="auto"/>
            <w:left w:val="none" w:sz="0" w:space="0" w:color="auto"/>
            <w:bottom w:val="none" w:sz="0" w:space="0" w:color="auto"/>
            <w:right w:val="none" w:sz="0" w:space="0" w:color="auto"/>
          </w:divBdr>
        </w:div>
        <w:div w:id="1681809734">
          <w:marLeft w:val="360"/>
          <w:marRight w:val="0"/>
          <w:marTop w:val="200"/>
          <w:marBottom w:val="0"/>
          <w:divBdr>
            <w:top w:val="none" w:sz="0" w:space="0" w:color="auto"/>
            <w:left w:val="none" w:sz="0" w:space="0" w:color="auto"/>
            <w:bottom w:val="none" w:sz="0" w:space="0" w:color="auto"/>
            <w:right w:val="none" w:sz="0" w:space="0" w:color="auto"/>
          </w:divBdr>
        </w:div>
        <w:div w:id="1349942204">
          <w:marLeft w:val="360"/>
          <w:marRight w:val="0"/>
          <w:marTop w:val="200"/>
          <w:marBottom w:val="0"/>
          <w:divBdr>
            <w:top w:val="none" w:sz="0" w:space="0" w:color="auto"/>
            <w:left w:val="none" w:sz="0" w:space="0" w:color="auto"/>
            <w:bottom w:val="none" w:sz="0" w:space="0" w:color="auto"/>
            <w:right w:val="none" w:sz="0" w:space="0" w:color="auto"/>
          </w:divBdr>
        </w:div>
        <w:div w:id="400560481">
          <w:marLeft w:val="360"/>
          <w:marRight w:val="0"/>
          <w:marTop w:val="200"/>
          <w:marBottom w:val="0"/>
          <w:divBdr>
            <w:top w:val="none" w:sz="0" w:space="0" w:color="auto"/>
            <w:left w:val="none" w:sz="0" w:space="0" w:color="auto"/>
            <w:bottom w:val="none" w:sz="0" w:space="0" w:color="auto"/>
            <w:right w:val="none" w:sz="0" w:space="0" w:color="auto"/>
          </w:divBdr>
        </w:div>
        <w:div w:id="1838763135">
          <w:marLeft w:val="360"/>
          <w:marRight w:val="0"/>
          <w:marTop w:val="200"/>
          <w:marBottom w:val="0"/>
          <w:divBdr>
            <w:top w:val="none" w:sz="0" w:space="0" w:color="auto"/>
            <w:left w:val="none" w:sz="0" w:space="0" w:color="auto"/>
            <w:bottom w:val="none" w:sz="0" w:space="0" w:color="auto"/>
            <w:right w:val="none" w:sz="0" w:space="0" w:color="auto"/>
          </w:divBdr>
        </w:div>
        <w:div w:id="545991734">
          <w:marLeft w:val="360"/>
          <w:marRight w:val="0"/>
          <w:marTop w:val="200"/>
          <w:marBottom w:val="0"/>
          <w:divBdr>
            <w:top w:val="none" w:sz="0" w:space="0" w:color="auto"/>
            <w:left w:val="none" w:sz="0" w:space="0" w:color="auto"/>
            <w:bottom w:val="none" w:sz="0" w:space="0" w:color="auto"/>
            <w:right w:val="none" w:sz="0" w:space="0" w:color="auto"/>
          </w:divBdr>
        </w:div>
      </w:divsChild>
    </w:div>
    <w:div w:id="806975186">
      <w:bodyDiv w:val="1"/>
      <w:marLeft w:val="0"/>
      <w:marRight w:val="0"/>
      <w:marTop w:val="0"/>
      <w:marBottom w:val="0"/>
      <w:divBdr>
        <w:top w:val="none" w:sz="0" w:space="0" w:color="auto"/>
        <w:left w:val="none" w:sz="0" w:space="0" w:color="auto"/>
        <w:bottom w:val="none" w:sz="0" w:space="0" w:color="auto"/>
        <w:right w:val="none" w:sz="0" w:space="0" w:color="auto"/>
      </w:divBdr>
    </w:div>
    <w:div w:id="845830450">
      <w:bodyDiv w:val="1"/>
      <w:marLeft w:val="0"/>
      <w:marRight w:val="0"/>
      <w:marTop w:val="0"/>
      <w:marBottom w:val="0"/>
      <w:divBdr>
        <w:top w:val="none" w:sz="0" w:space="0" w:color="auto"/>
        <w:left w:val="none" w:sz="0" w:space="0" w:color="auto"/>
        <w:bottom w:val="none" w:sz="0" w:space="0" w:color="auto"/>
        <w:right w:val="none" w:sz="0" w:space="0" w:color="auto"/>
      </w:divBdr>
    </w:div>
    <w:div w:id="913049870">
      <w:bodyDiv w:val="1"/>
      <w:marLeft w:val="0"/>
      <w:marRight w:val="0"/>
      <w:marTop w:val="0"/>
      <w:marBottom w:val="0"/>
      <w:divBdr>
        <w:top w:val="none" w:sz="0" w:space="0" w:color="auto"/>
        <w:left w:val="none" w:sz="0" w:space="0" w:color="auto"/>
        <w:bottom w:val="none" w:sz="0" w:space="0" w:color="auto"/>
        <w:right w:val="none" w:sz="0" w:space="0" w:color="auto"/>
      </w:divBdr>
    </w:div>
    <w:div w:id="955451662">
      <w:bodyDiv w:val="1"/>
      <w:marLeft w:val="0"/>
      <w:marRight w:val="0"/>
      <w:marTop w:val="0"/>
      <w:marBottom w:val="0"/>
      <w:divBdr>
        <w:top w:val="none" w:sz="0" w:space="0" w:color="auto"/>
        <w:left w:val="none" w:sz="0" w:space="0" w:color="auto"/>
        <w:bottom w:val="none" w:sz="0" w:space="0" w:color="auto"/>
        <w:right w:val="none" w:sz="0" w:space="0" w:color="auto"/>
      </w:divBdr>
    </w:div>
    <w:div w:id="1441729762">
      <w:bodyDiv w:val="1"/>
      <w:marLeft w:val="0"/>
      <w:marRight w:val="0"/>
      <w:marTop w:val="0"/>
      <w:marBottom w:val="0"/>
      <w:divBdr>
        <w:top w:val="none" w:sz="0" w:space="0" w:color="auto"/>
        <w:left w:val="none" w:sz="0" w:space="0" w:color="auto"/>
        <w:bottom w:val="none" w:sz="0" w:space="0" w:color="auto"/>
        <w:right w:val="none" w:sz="0" w:space="0" w:color="auto"/>
      </w:divBdr>
    </w:div>
    <w:div w:id="1472013301">
      <w:bodyDiv w:val="1"/>
      <w:marLeft w:val="0"/>
      <w:marRight w:val="0"/>
      <w:marTop w:val="0"/>
      <w:marBottom w:val="0"/>
      <w:divBdr>
        <w:top w:val="none" w:sz="0" w:space="0" w:color="auto"/>
        <w:left w:val="none" w:sz="0" w:space="0" w:color="auto"/>
        <w:bottom w:val="none" w:sz="0" w:space="0" w:color="auto"/>
        <w:right w:val="none" w:sz="0" w:space="0" w:color="auto"/>
      </w:divBdr>
    </w:div>
    <w:div w:id="1641575112">
      <w:bodyDiv w:val="1"/>
      <w:marLeft w:val="0"/>
      <w:marRight w:val="0"/>
      <w:marTop w:val="0"/>
      <w:marBottom w:val="0"/>
      <w:divBdr>
        <w:top w:val="none" w:sz="0" w:space="0" w:color="auto"/>
        <w:left w:val="none" w:sz="0" w:space="0" w:color="auto"/>
        <w:bottom w:val="none" w:sz="0" w:space="0" w:color="auto"/>
        <w:right w:val="none" w:sz="0" w:space="0" w:color="auto"/>
      </w:divBdr>
    </w:div>
    <w:div w:id="1683579861">
      <w:bodyDiv w:val="1"/>
      <w:marLeft w:val="0"/>
      <w:marRight w:val="0"/>
      <w:marTop w:val="0"/>
      <w:marBottom w:val="0"/>
      <w:divBdr>
        <w:top w:val="none" w:sz="0" w:space="0" w:color="auto"/>
        <w:left w:val="none" w:sz="0" w:space="0" w:color="auto"/>
        <w:bottom w:val="none" w:sz="0" w:space="0" w:color="auto"/>
        <w:right w:val="none" w:sz="0" w:space="0" w:color="auto"/>
      </w:divBdr>
    </w:div>
    <w:div w:id="1748263110">
      <w:bodyDiv w:val="1"/>
      <w:marLeft w:val="0"/>
      <w:marRight w:val="0"/>
      <w:marTop w:val="0"/>
      <w:marBottom w:val="0"/>
      <w:divBdr>
        <w:top w:val="none" w:sz="0" w:space="0" w:color="auto"/>
        <w:left w:val="none" w:sz="0" w:space="0" w:color="auto"/>
        <w:bottom w:val="none" w:sz="0" w:space="0" w:color="auto"/>
        <w:right w:val="none" w:sz="0" w:space="0" w:color="auto"/>
      </w:divBdr>
    </w:div>
    <w:div w:id="1964262716">
      <w:bodyDiv w:val="1"/>
      <w:marLeft w:val="0"/>
      <w:marRight w:val="0"/>
      <w:marTop w:val="0"/>
      <w:marBottom w:val="0"/>
      <w:divBdr>
        <w:top w:val="none" w:sz="0" w:space="0" w:color="auto"/>
        <w:left w:val="none" w:sz="0" w:space="0" w:color="auto"/>
        <w:bottom w:val="none" w:sz="0" w:space="0" w:color="auto"/>
        <w:right w:val="none" w:sz="0" w:space="0" w:color="auto"/>
      </w:divBdr>
    </w:div>
    <w:div w:id="20312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EEAS</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JUSKA Zygimantas (EEAS-KIGALI)</dc:creator>
  <cp:keywords/>
  <dc:description/>
  <cp:lastModifiedBy>Yannoussis, Vassilis</cp:lastModifiedBy>
  <cp:revision>5</cp:revision>
  <cp:lastPrinted>2021-03-24T07:42:00Z</cp:lastPrinted>
  <dcterms:created xsi:type="dcterms:W3CDTF">2021-04-21T07:24:00Z</dcterms:created>
  <dcterms:modified xsi:type="dcterms:W3CDTF">2021-06-14T20:25:00Z</dcterms:modified>
</cp:coreProperties>
</file>