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56E71" w14:textId="77777777" w:rsidR="00671AA2" w:rsidRPr="004A384E" w:rsidRDefault="009E2D13" w:rsidP="004A384E">
      <w:pPr>
        <w:rPr>
          <w:b/>
          <w:bCs/>
          <w:color w:val="1F497D"/>
        </w:rPr>
      </w:pPr>
      <w:r w:rsidRPr="004A384E">
        <w:rPr>
          <w:b/>
          <w:bCs/>
          <w:color w:val="1F497D"/>
        </w:rPr>
        <w:t>OTHER EU INSTRUMENTS FOR PRIVATE SECTOR SUPPORT</w:t>
      </w:r>
    </w:p>
    <w:p w14:paraId="74EAAC3B" w14:textId="77777777" w:rsidR="00671AA2" w:rsidRDefault="00671AA2" w:rsidP="00671AA2"/>
    <w:p w14:paraId="69DE42B3" w14:textId="77777777" w:rsidR="00671AA2" w:rsidRDefault="00671AA2" w:rsidP="00671AA2"/>
    <w:tbl>
      <w:tblPr>
        <w:tblStyle w:val="TableGrid"/>
        <w:tblW w:w="15310" w:type="dxa"/>
        <w:tblInd w:w="-856" w:type="dxa"/>
        <w:tblLayout w:type="fixed"/>
        <w:tblLook w:val="04A0" w:firstRow="1" w:lastRow="0" w:firstColumn="1" w:lastColumn="0" w:noHBand="0" w:noVBand="1"/>
      </w:tblPr>
      <w:tblGrid>
        <w:gridCol w:w="2269"/>
        <w:gridCol w:w="4394"/>
        <w:gridCol w:w="2835"/>
        <w:gridCol w:w="3260"/>
        <w:gridCol w:w="2552"/>
      </w:tblGrid>
      <w:tr w:rsidR="00671AA2" w14:paraId="1E41432A" w14:textId="77777777" w:rsidTr="004A384E">
        <w:tc>
          <w:tcPr>
            <w:tcW w:w="2269" w:type="dxa"/>
          </w:tcPr>
          <w:p w14:paraId="0EB1C331" w14:textId="77777777" w:rsidR="00671AA2" w:rsidRPr="004852AF" w:rsidRDefault="00671AA2" w:rsidP="00605169">
            <w:pPr>
              <w:jc w:val="center"/>
              <w:rPr>
                <w:b/>
              </w:rPr>
            </w:pPr>
            <w:r w:rsidRPr="004852AF">
              <w:rPr>
                <w:b/>
              </w:rPr>
              <w:t>EU instrument</w:t>
            </w:r>
          </w:p>
        </w:tc>
        <w:tc>
          <w:tcPr>
            <w:tcW w:w="4394" w:type="dxa"/>
          </w:tcPr>
          <w:p w14:paraId="5499F36F" w14:textId="77777777" w:rsidR="00671AA2" w:rsidRPr="004852AF" w:rsidRDefault="00671AA2" w:rsidP="00605169">
            <w:pPr>
              <w:jc w:val="center"/>
              <w:rPr>
                <w:b/>
              </w:rPr>
            </w:pPr>
            <w:r>
              <w:rPr>
                <w:b/>
              </w:rPr>
              <w:t>What</w:t>
            </w:r>
            <w:r w:rsidRPr="00607E2C">
              <w:rPr>
                <w:b/>
              </w:rPr>
              <w:t xml:space="preserve"> is it for</w:t>
            </w:r>
          </w:p>
        </w:tc>
        <w:tc>
          <w:tcPr>
            <w:tcW w:w="2835" w:type="dxa"/>
          </w:tcPr>
          <w:p w14:paraId="311CD1DA" w14:textId="77777777" w:rsidR="00671AA2" w:rsidRPr="004852AF" w:rsidRDefault="00671AA2" w:rsidP="00605169">
            <w:pPr>
              <w:jc w:val="center"/>
              <w:rPr>
                <w:b/>
              </w:rPr>
            </w:pPr>
            <w:r>
              <w:rPr>
                <w:b/>
              </w:rPr>
              <w:t>What it offers</w:t>
            </w:r>
          </w:p>
        </w:tc>
        <w:tc>
          <w:tcPr>
            <w:tcW w:w="3260" w:type="dxa"/>
          </w:tcPr>
          <w:p w14:paraId="39AB5A95" w14:textId="77777777" w:rsidR="00671AA2" w:rsidRPr="00607E2C" w:rsidRDefault="00671AA2" w:rsidP="00605169">
            <w:pPr>
              <w:jc w:val="center"/>
              <w:rPr>
                <w:b/>
              </w:rPr>
            </w:pPr>
            <w:r>
              <w:rPr>
                <w:b/>
              </w:rPr>
              <w:t xml:space="preserve">Presentation on web </w:t>
            </w:r>
          </w:p>
        </w:tc>
        <w:tc>
          <w:tcPr>
            <w:tcW w:w="2552" w:type="dxa"/>
          </w:tcPr>
          <w:p w14:paraId="7DBEDD6B" w14:textId="77777777" w:rsidR="00671AA2" w:rsidRPr="00607E2C" w:rsidRDefault="00671AA2" w:rsidP="00605169">
            <w:pPr>
              <w:jc w:val="center"/>
              <w:rPr>
                <w:b/>
              </w:rPr>
            </w:pPr>
            <w:r>
              <w:rPr>
                <w:b/>
              </w:rPr>
              <w:t xml:space="preserve">For further information, including how to apply, please see </w:t>
            </w:r>
            <w:r w:rsidRPr="00F30DC0">
              <w:rPr>
                <w:b/>
                <w:color w:val="4472C4" w:themeColor="accent5"/>
              </w:rPr>
              <w:t>here</w:t>
            </w:r>
          </w:p>
        </w:tc>
      </w:tr>
      <w:tr w:rsidR="00671AA2" w14:paraId="3326B48D" w14:textId="77777777" w:rsidTr="004A384E">
        <w:tc>
          <w:tcPr>
            <w:tcW w:w="15310" w:type="dxa"/>
            <w:gridSpan w:val="5"/>
            <w:shd w:val="clear" w:color="auto" w:fill="92D050"/>
          </w:tcPr>
          <w:p w14:paraId="48BA6E4F" w14:textId="77777777" w:rsidR="00671AA2" w:rsidRPr="00A44F5E" w:rsidRDefault="00A00318" w:rsidP="00605169">
            <w:pPr>
              <w:jc w:val="center"/>
              <w:rPr>
                <w:b/>
              </w:rPr>
            </w:pPr>
            <w:r>
              <w:rPr>
                <w:b/>
              </w:rPr>
              <w:t>Financial mechanisms</w:t>
            </w:r>
          </w:p>
        </w:tc>
      </w:tr>
      <w:tr w:rsidR="00671AA2" w14:paraId="1610C552" w14:textId="77777777" w:rsidTr="004A384E">
        <w:tc>
          <w:tcPr>
            <w:tcW w:w="2269" w:type="dxa"/>
            <w:vAlign w:val="center"/>
          </w:tcPr>
          <w:p w14:paraId="6EE9559E" w14:textId="77777777" w:rsidR="00671AA2" w:rsidRPr="00A44F5E" w:rsidRDefault="00671AA2" w:rsidP="00605169">
            <w:pPr>
              <w:jc w:val="center"/>
              <w:rPr>
                <w:b/>
              </w:rPr>
            </w:pPr>
            <w:r>
              <w:rPr>
                <w:b/>
              </w:rPr>
              <w:t>EIB in sub-Saharan Africa</w:t>
            </w:r>
          </w:p>
        </w:tc>
        <w:tc>
          <w:tcPr>
            <w:tcW w:w="4394" w:type="dxa"/>
          </w:tcPr>
          <w:p w14:paraId="08868AC8" w14:textId="77777777" w:rsidR="00671AA2" w:rsidRDefault="00671AA2" w:rsidP="00605169">
            <w:pPr>
              <w:jc w:val="both"/>
            </w:pPr>
            <w:r w:rsidRPr="005315E3">
              <w:t>The EIB invests in a wide range of projects in sub-Saharan Africa</w:t>
            </w:r>
            <w:r>
              <w:t>, the Caribbean and the Pacific (ACP</w:t>
            </w:r>
            <w:r w:rsidRPr="005315E3">
              <w:t xml:space="preserve">). </w:t>
            </w:r>
            <w:r>
              <w:t>EIB</w:t>
            </w:r>
            <w:r w:rsidRPr="005315E3">
              <w:t xml:space="preserve"> work</w:t>
            </w:r>
            <w:r>
              <w:t>s</w:t>
            </w:r>
            <w:r w:rsidRPr="005315E3">
              <w:t xml:space="preserve"> with partners to finance large infrastructure projects and businesses in the private sector</w:t>
            </w:r>
            <w:r>
              <w:t>.</w:t>
            </w:r>
            <w:r w:rsidRPr="005135C4">
              <w:t xml:space="preserve"> </w:t>
            </w:r>
          </w:p>
          <w:p w14:paraId="2C86E237" w14:textId="77777777" w:rsidR="00671AA2" w:rsidRDefault="00671AA2" w:rsidP="00605169">
            <w:pPr>
              <w:jc w:val="both"/>
            </w:pPr>
          </w:p>
          <w:p w14:paraId="4DA11D5D" w14:textId="77777777" w:rsidR="00671AA2" w:rsidRPr="000C6E2B" w:rsidRDefault="00671AA2" w:rsidP="00605169">
            <w:pPr>
              <w:jc w:val="both"/>
            </w:pPr>
            <w:r w:rsidRPr="005135C4">
              <w:t>The EIB manages the ACP Investment Facility fund</w:t>
            </w:r>
            <w:r>
              <w:t xml:space="preserve"> </w:t>
            </w:r>
            <w:r w:rsidRPr="008B69CE">
              <w:t>under the Cotonou Mandate.</w:t>
            </w:r>
            <w:r w:rsidRPr="005135C4">
              <w:t xml:space="preserve"> </w:t>
            </w:r>
            <w:r>
              <w:t>The Facility is usually</w:t>
            </w:r>
            <w:r w:rsidRPr="008B69CE">
              <w:t xml:space="preserve"> used for private sector operations</w:t>
            </w:r>
            <w:r w:rsidRPr="005135C4">
              <w:t>.</w:t>
            </w:r>
            <w:r>
              <w:t xml:space="preserve"> </w:t>
            </w:r>
          </w:p>
        </w:tc>
        <w:tc>
          <w:tcPr>
            <w:tcW w:w="2835" w:type="dxa"/>
          </w:tcPr>
          <w:p w14:paraId="38F05A45" w14:textId="77777777" w:rsidR="00671AA2" w:rsidRDefault="00671AA2" w:rsidP="00605169">
            <w:pPr>
              <w:jc w:val="both"/>
            </w:pPr>
            <w:proofErr w:type="gramStart"/>
            <w:r>
              <w:t xml:space="preserve">EIB </w:t>
            </w:r>
            <w:r w:rsidRPr="00A2428F">
              <w:t xml:space="preserve"> offer</w:t>
            </w:r>
            <w:r>
              <w:t>s</w:t>
            </w:r>
            <w:proofErr w:type="gramEnd"/>
            <w:r>
              <w:t>:</w:t>
            </w:r>
            <w:r w:rsidRPr="00A2428F">
              <w:t xml:space="preserve"> </w:t>
            </w:r>
          </w:p>
          <w:p w14:paraId="77C3C89A" w14:textId="77777777" w:rsidR="00671AA2" w:rsidRDefault="00671AA2" w:rsidP="00671AA2">
            <w:pPr>
              <w:pStyle w:val="ListParagraph"/>
              <w:numPr>
                <w:ilvl w:val="0"/>
                <w:numId w:val="40"/>
              </w:numPr>
              <w:contextualSpacing/>
              <w:jc w:val="both"/>
            </w:pPr>
            <w:r w:rsidRPr="00A2428F">
              <w:t xml:space="preserve">loans, </w:t>
            </w:r>
          </w:p>
          <w:p w14:paraId="2CF3BD59" w14:textId="77777777" w:rsidR="00671AA2" w:rsidRDefault="00671AA2" w:rsidP="00671AA2">
            <w:pPr>
              <w:pStyle w:val="ListParagraph"/>
              <w:numPr>
                <w:ilvl w:val="0"/>
                <w:numId w:val="40"/>
              </w:numPr>
              <w:contextualSpacing/>
              <w:jc w:val="both"/>
            </w:pPr>
            <w:r w:rsidRPr="00A2428F">
              <w:t xml:space="preserve">guarantees, </w:t>
            </w:r>
          </w:p>
          <w:p w14:paraId="1DB3CD7C" w14:textId="77777777" w:rsidR="00671AA2" w:rsidRDefault="00671AA2" w:rsidP="00671AA2">
            <w:pPr>
              <w:pStyle w:val="ListParagraph"/>
              <w:numPr>
                <w:ilvl w:val="0"/>
                <w:numId w:val="40"/>
              </w:numPr>
              <w:contextualSpacing/>
              <w:jc w:val="both"/>
            </w:pPr>
            <w:r w:rsidRPr="00A2428F">
              <w:t xml:space="preserve">equity investments </w:t>
            </w:r>
          </w:p>
          <w:p w14:paraId="15DED2D5" w14:textId="77777777" w:rsidR="00671AA2" w:rsidRDefault="00671AA2" w:rsidP="00671AA2">
            <w:pPr>
              <w:pStyle w:val="ListParagraph"/>
              <w:numPr>
                <w:ilvl w:val="0"/>
                <w:numId w:val="40"/>
              </w:numPr>
              <w:contextualSpacing/>
              <w:jc w:val="both"/>
            </w:pPr>
            <w:r w:rsidRPr="00A2428F">
              <w:t>advisory services</w:t>
            </w:r>
          </w:p>
          <w:p w14:paraId="204B057B" w14:textId="77777777" w:rsidR="00671AA2" w:rsidRDefault="00671AA2" w:rsidP="00605169">
            <w:pPr>
              <w:jc w:val="both"/>
            </w:pPr>
          </w:p>
          <w:p w14:paraId="791DF9D3" w14:textId="77777777" w:rsidR="00671AA2" w:rsidRPr="00481A12" w:rsidRDefault="00671AA2" w:rsidP="00605169">
            <w:pPr>
              <w:jc w:val="both"/>
            </w:pPr>
          </w:p>
        </w:tc>
        <w:tc>
          <w:tcPr>
            <w:tcW w:w="3260" w:type="dxa"/>
          </w:tcPr>
          <w:p w14:paraId="0E06120F" w14:textId="77777777" w:rsidR="00671AA2" w:rsidRPr="000C6E2B" w:rsidRDefault="00671AA2" w:rsidP="00605169">
            <w:r>
              <w:t>EIB</w:t>
            </w:r>
            <w:r w:rsidRPr="00797733">
              <w:t xml:space="preserve"> boosts funding for young businesses in Africa</w:t>
            </w:r>
            <w:r>
              <w:t xml:space="preserve">: </w:t>
            </w:r>
            <w:r w:rsidRPr="00797733">
              <w:t>https://www.youtube.com/watch?v=mQFnVA-Kjt4</w:t>
            </w:r>
          </w:p>
        </w:tc>
        <w:tc>
          <w:tcPr>
            <w:tcW w:w="2552" w:type="dxa"/>
          </w:tcPr>
          <w:p w14:paraId="19EF8D69" w14:textId="77777777" w:rsidR="00671AA2" w:rsidRDefault="00671AA2" w:rsidP="00605169">
            <w:pPr>
              <w:jc w:val="both"/>
            </w:pPr>
            <w:r w:rsidRPr="00A2428F">
              <w:t>https://www.eib.org/en/projects/pipelines/notice/index.htm</w:t>
            </w:r>
          </w:p>
        </w:tc>
      </w:tr>
      <w:tr w:rsidR="00671AA2" w14:paraId="24C68BD8" w14:textId="77777777" w:rsidTr="004A384E">
        <w:tc>
          <w:tcPr>
            <w:tcW w:w="2269" w:type="dxa"/>
            <w:vAlign w:val="center"/>
          </w:tcPr>
          <w:p w14:paraId="1C6E9BE7" w14:textId="77777777" w:rsidR="00671AA2" w:rsidRDefault="00671AA2" w:rsidP="00605169">
            <w:pPr>
              <w:jc w:val="center"/>
              <w:rPr>
                <w:b/>
              </w:rPr>
            </w:pPr>
            <w:r w:rsidRPr="00054EBA">
              <w:rPr>
                <w:b/>
              </w:rPr>
              <w:t>European Fund for Sustainable Development (EFSD)</w:t>
            </w:r>
            <w:r>
              <w:rPr>
                <w:b/>
              </w:rPr>
              <w:t xml:space="preserve"> under the </w:t>
            </w:r>
            <w:r w:rsidRPr="00054EBA">
              <w:rPr>
                <w:b/>
              </w:rPr>
              <w:t>EU External Investment Plan</w:t>
            </w:r>
          </w:p>
        </w:tc>
        <w:tc>
          <w:tcPr>
            <w:tcW w:w="4394" w:type="dxa"/>
          </w:tcPr>
          <w:p w14:paraId="5A5FC0D6" w14:textId="77777777" w:rsidR="00671AA2" w:rsidRDefault="00671AA2" w:rsidP="00605169">
            <w:pPr>
              <w:jc w:val="both"/>
            </w:pPr>
            <w:r w:rsidRPr="00F33E4B">
              <w:t>EU External Investment Plan aim</w:t>
            </w:r>
            <w:r>
              <w:t>s</w:t>
            </w:r>
            <w:r w:rsidRPr="00F33E4B">
              <w:t xml:space="preserve"> to help attract more investment in Africa</w:t>
            </w:r>
            <w:r>
              <w:t>.</w:t>
            </w:r>
          </w:p>
          <w:p w14:paraId="2675BC5E" w14:textId="77777777" w:rsidR="00671AA2" w:rsidRDefault="00671AA2" w:rsidP="00605169">
            <w:pPr>
              <w:jc w:val="both"/>
            </w:pPr>
          </w:p>
          <w:p w14:paraId="0DC827D6" w14:textId="77777777" w:rsidR="00671AA2" w:rsidRPr="005315E3" w:rsidRDefault="00671AA2" w:rsidP="00605169">
            <w:pPr>
              <w:jc w:val="both"/>
            </w:pPr>
            <w:r>
              <w:t xml:space="preserve">To achieve this, </w:t>
            </w:r>
            <w:r w:rsidRPr="00F33E4B">
              <w:t xml:space="preserve">EU External Investment Plan </w:t>
            </w:r>
            <w:r>
              <w:t>uses</w:t>
            </w:r>
            <w:r w:rsidRPr="00EC7825">
              <w:t xml:space="preserve"> the European Fund for Sustainable Development (EFSD), worth €5.1 billion</w:t>
            </w:r>
            <w:r>
              <w:t>.</w:t>
            </w:r>
            <w:r w:rsidRPr="00EC7825">
              <w:t xml:space="preserve"> EFSD</w:t>
            </w:r>
            <w:r>
              <w:t xml:space="preserve"> has been </w:t>
            </w:r>
            <w:r w:rsidRPr="00F33E4B">
              <w:t xml:space="preserve">refocused to help </w:t>
            </w:r>
            <w:r w:rsidRPr="003E2B52">
              <w:t xml:space="preserve">small businesses </w:t>
            </w:r>
            <w:r>
              <w:t xml:space="preserve">to </w:t>
            </w:r>
            <w:r w:rsidRPr="00F33E4B">
              <w:t>respond to the coronavirus (COVID-19) pandemic.</w:t>
            </w:r>
            <w:r>
              <w:t xml:space="preserve"> </w:t>
            </w:r>
          </w:p>
        </w:tc>
        <w:tc>
          <w:tcPr>
            <w:tcW w:w="2835" w:type="dxa"/>
          </w:tcPr>
          <w:p w14:paraId="52ACED5F" w14:textId="77777777" w:rsidR="00671AA2" w:rsidRDefault="00671AA2" w:rsidP="00605169">
            <w:pPr>
              <w:jc w:val="both"/>
            </w:pPr>
            <w:r>
              <w:t>EFSD offers:</w:t>
            </w:r>
          </w:p>
          <w:p w14:paraId="4F1B2AEE" w14:textId="77777777" w:rsidR="00671AA2" w:rsidRDefault="00671AA2" w:rsidP="00671AA2">
            <w:pPr>
              <w:pStyle w:val="ListParagraph"/>
              <w:numPr>
                <w:ilvl w:val="0"/>
                <w:numId w:val="41"/>
              </w:numPr>
              <w:contextualSpacing/>
              <w:jc w:val="both"/>
            </w:pPr>
            <w:r w:rsidRPr="00054EBA">
              <w:t>Guarantee</w:t>
            </w:r>
            <w:r>
              <w:t>s</w:t>
            </w:r>
          </w:p>
          <w:p w14:paraId="604AC8FF" w14:textId="77777777" w:rsidR="00671AA2" w:rsidRDefault="00671AA2" w:rsidP="00605169">
            <w:pPr>
              <w:jc w:val="both"/>
            </w:pPr>
            <w:r>
              <w:t>EFSD Guarantee shares the risks involved in investing together with development banks and private investors.</w:t>
            </w:r>
          </w:p>
          <w:p w14:paraId="300DC4FD" w14:textId="77777777" w:rsidR="00671AA2" w:rsidRDefault="00671AA2" w:rsidP="00605169">
            <w:pPr>
              <w:jc w:val="both"/>
            </w:pPr>
          </w:p>
          <w:p w14:paraId="1B4AFC66" w14:textId="77777777" w:rsidR="00671AA2" w:rsidRDefault="00671AA2" w:rsidP="00671AA2">
            <w:pPr>
              <w:pStyle w:val="ListParagraph"/>
              <w:numPr>
                <w:ilvl w:val="0"/>
                <w:numId w:val="41"/>
              </w:numPr>
              <w:contextualSpacing/>
              <w:jc w:val="both"/>
            </w:pPr>
            <w:r>
              <w:t>Blending</w:t>
            </w:r>
          </w:p>
          <w:p w14:paraId="26C18A68" w14:textId="77777777" w:rsidR="00671AA2" w:rsidRDefault="00671AA2" w:rsidP="00605169">
            <w:pPr>
              <w:jc w:val="both"/>
            </w:pPr>
            <w:r>
              <w:t>EFSD blending projects are financed through the Africa Investment Platform (AIP)</w:t>
            </w:r>
          </w:p>
          <w:p w14:paraId="69E777D8" w14:textId="77777777" w:rsidR="00671AA2" w:rsidRDefault="00671AA2" w:rsidP="00605169">
            <w:pPr>
              <w:jc w:val="both"/>
            </w:pPr>
          </w:p>
          <w:p w14:paraId="6FED7EEB" w14:textId="77777777" w:rsidR="00671AA2" w:rsidRDefault="00671AA2" w:rsidP="00605169">
            <w:pPr>
              <w:jc w:val="both"/>
            </w:pPr>
          </w:p>
        </w:tc>
        <w:tc>
          <w:tcPr>
            <w:tcW w:w="3260" w:type="dxa"/>
          </w:tcPr>
          <w:p w14:paraId="052AFB54" w14:textId="77777777" w:rsidR="00671AA2" w:rsidRDefault="00671AA2" w:rsidP="00605169">
            <w:pPr>
              <w:jc w:val="both"/>
            </w:pPr>
            <w:r w:rsidRPr="00355DD1">
              <w:t>How the EU External Investment Plan works</w:t>
            </w:r>
            <w:r>
              <w:t xml:space="preserve"> </w:t>
            </w:r>
          </w:p>
          <w:p w14:paraId="5CF88607" w14:textId="77777777" w:rsidR="00671AA2" w:rsidRDefault="00671AA2" w:rsidP="00605169"/>
          <w:p w14:paraId="453AA371" w14:textId="77777777" w:rsidR="00671AA2" w:rsidRPr="00797733" w:rsidRDefault="00671AA2" w:rsidP="00605169">
            <w:r w:rsidRPr="00355DD1">
              <w:t>https://audiovisual.ec.europa.eu/en/video/I-180847?&amp;lg=EN</w:t>
            </w:r>
          </w:p>
        </w:tc>
        <w:tc>
          <w:tcPr>
            <w:tcW w:w="2552" w:type="dxa"/>
          </w:tcPr>
          <w:p w14:paraId="759D0B47" w14:textId="77777777" w:rsidR="00671AA2" w:rsidRDefault="00671AA2" w:rsidP="00605169">
            <w:pPr>
              <w:jc w:val="both"/>
            </w:pPr>
            <w:r w:rsidRPr="00DB6A5F">
              <w:t>https://ec.europa.eu/eu-external-investment-plan/about-plan/how-it-works-finance_en</w:t>
            </w:r>
          </w:p>
        </w:tc>
      </w:tr>
      <w:tr w:rsidR="00671AA2" w14:paraId="526FA90F" w14:textId="77777777" w:rsidTr="004A384E">
        <w:tc>
          <w:tcPr>
            <w:tcW w:w="2269" w:type="dxa"/>
            <w:vAlign w:val="center"/>
          </w:tcPr>
          <w:p w14:paraId="6FEFAA6B" w14:textId="77777777" w:rsidR="00671AA2" w:rsidRPr="00607E2C" w:rsidRDefault="00671AA2" w:rsidP="00605169">
            <w:pPr>
              <w:jc w:val="center"/>
              <w:rPr>
                <w:b/>
              </w:rPr>
            </w:pPr>
            <w:r w:rsidRPr="00A44F5E">
              <w:rPr>
                <w:b/>
              </w:rPr>
              <w:t>Investment Climate Reform Facility</w:t>
            </w:r>
          </w:p>
        </w:tc>
        <w:tc>
          <w:tcPr>
            <w:tcW w:w="4394" w:type="dxa"/>
          </w:tcPr>
          <w:p w14:paraId="5869B99D" w14:textId="77777777" w:rsidR="00671AA2" w:rsidRDefault="00671AA2" w:rsidP="00605169">
            <w:pPr>
              <w:jc w:val="both"/>
            </w:pPr>
            <w:r w:rsidRPr="000C6E2B">
              <w:t>The ICR Facility supports public and private stakeholders in African, Caribbean and Pacific (ACP) countries to improve their investment climate and business environment.</w:t>
            </w:r>
          </w:p>
          <w:p w14:paraId="6B02A7DB" w14:textId="77777777" w:rsidR="00671AA2" w:rsidRDefault="00671AA2" w:rsidP="00605169">
            <w:pPr>
              <w:jc w:val="both"/>
            </w:pPr>
          </w:p>
          <w:p w14:paraId="5FEE6502" w14:textId="77777777" w:rsidR="00671AA2" w:rsidRDefault="00671AA2" w:rsidP="00605169">
            <w:pPr>
              <w:jc w:val="both"/>
            </w:pPr>
            <w:r w:rsidRPr="00481A12">
              <w:lastRenderedPageBreak/>
              <w:t>The assistance of the ICR Facility is demand-based and tailor-made. Regional/ sub-regional bodies, national governments, sectoral institutions, public-private dialogue mechanisms, development finance institutions (DFIs), private sector associations or other non-state actors engaged in improving the business environment, are welcome to hand in their support requests.</w:t>
            </w:r>
          </w:p>
          <w:p w14:paraId="57A5DFA8" w14:textId="77777777" w:rsidR="00671AA2" w:rsidRPr="002A3BEA" w:rsidRDefault="00671AA2" w:rsidP="00605169">
            <w:pPr>
              <w:jc w:val="both"/>
            </w:pPr>
          </w:p>
        </w:tc>
        <w:tc>
          <w:tcPr>
            <w:tcW w:w="2835" w:type="dxa"/>
          </w:tcPr>
          <w:p w14:paraId="11821962" w14:textId="77777777" w:rsidR="00671AA2" w:rsidRDefault="00671AA2" w:rsidP="00605169">
            <w:pPr>
              <w:jc w:val="both"/>
            </w:pPr>
            <w:r w:rsidRPr="000C6E2B">
              <w:lastRenderedPageBreak/>
              <w:t>The ICR Facility</w:t>
            </w:r>
            <w:r>
              <w:t xml:space="preserve"> offers: </w:t>
            </w:r>
          </w:p>
          <w:p w14:paraId="471486EA" w14:textId="77777777" w:rsidR="00671AA2" w:rsidRDefault="00671AA2" w:rsidP="00671AA2">
            <w:pPr>
              <w:pStyle w:val="ListParagraph"/>
              <w:numPr>
                <w:ilvl w:val="0"/>
                <w:numId w:val="39"/>
              </w:numPr>
              <w:ind w:left="322"/>
              <w:contextualSpacing/>
              <w:jc w:val="both"/>
            </w:pPr>
            <w:r>
              <w:t>support for organisations conducting public private dialogues</w:t>
            </w:r>
          </w:p>
          <w:p w14:paraId="79888F54" w14:textId="77777777" w:rsidR="00671AA2" w:rsidRDefault="00671AA2" w:rsidP="00671AA2">
            <w:pPr>
              <w:pStyle w:val="ListParagraph"/>
              <w:numPr>
                <w:ilvl w:val="0"/>
                <w:numId w:val="39"/>
              </w:numPr>
              <w:ind w:left="322"/>
              <w:contextualSpacing/>
              <w:jc w:val="both"/>
            </w:pPr>
            <w:r>
              <w:lastRenderedPageBreak/>
              <w:t>support for development financial institutions (DFIs)</w:t>
            </w:r>
          </w:p>
          <w:p w14:paraId="06EF7EEF" w14:textId="77777777" w:rsidR="00671AA2" w:rsidRDefault="00671AA2" w:rsidP="00671AA2">
            <w:pPr>
              <w:pStyle w:val="ListParagraph"/>
              <w:numPr>
                <w:ilvl w:val="0"/>
                <w:numId w:val="39"/>
              </w:numPr>
              <w:ind w:left="322"/>
              <w:contextualSpacing/>
              <w:jc w:val="both"/>
            </w:pPr>
            <w:r>
              <w:t>innovative instruments, lessons learned and best practices on investment climate reform with a focus on inclusivity and sustainability.</w:t>
            </w:r>
          </w:p>
        </w:tc>
        <w:tc>
          <w:tcPr>
            <w:tcW w:w="3260" w:type="dxa"/>
          </w:tcPr>
          <w:p w14:paraId="2CE53C37" w14:textId="77777777" w:rsidR="00671AA2" w:rsidRDefault="00671AA2" w:rsidP="00605169">
            <w:r w:rsidRPr="00C54261">
              <w:lastRenderedPageBreak/>
              <w:t xml:space="preserve">How does the Investment Climate Reform Facility support African, Caribbean and Pacific countries? </w:t>
            </w:r>
          </w:p>
          <w:p w14:paraId="7143D5F4" w14:textId="77777777" w:rsidR="00671AA2" w:rsidRDefault="00671AA2" w:rsidP="00605169"/>
          <w:p w14:paraId="5273F8E3" w14:textId="77777777" w:rsidR="00671AA2" w:rsidRPr="00607E2C" w:rsidRDefault="00671AA2" w:rsidP="00605169">
            <w:r w:rsidRPr="000C6E2B">
              <w:t>https://www.youtube.com/watch?v=5Kr4KsHU3NA</w:t>
            </w:r>
          </w:p>
        </w:tc>
        <w:tc>
          <w:tcPr>
            <w:tcW w:w="2552" w:type="dxa"/>
          </w:tcPr>
          <w:p w14:paraId="461FF10F" w14:textId="77777777" w:rsidR="00671AA2" w:rsidRPr="004074DC" w:rsidRDefault="00671AA2" w:rsidP="00605169">
            <w:pPr>
              <w:jc w:val="both"/>
            </w:pPr>
            <w:r w:rsidRPr="00C20137">
              <w:t>https://www.icr-facility.eu/request-form</w:t>
            </w:r>
          </w:p>
        </w:tc>
      </w:tr>
      <w:tr w:rsidR="00671AA2" w14:paraId="70A60CED" w14:textId="77777777" w:rsidTr="004A384E">
        <w:tc>
          <w:tcPr>
            <w:tcW w:w="15310" w:type="dxa"/>
            <w:gridSpan w:val="5"/>
            <w:shd w:val="clear" w:color="auto" w:fill="92D050"/>
          </w:tcPr>
          <w:p w14:paraId="20B591C6" w14:textId="77777777" w:rsidR="00671AA2" w:rsidRPr="000C6E2B" w:rsidRDefault="00A00318" w:rsidP="00605169">
            <w:pPr>
              <w:jc w:val="center"/>
              <w:rPr>
                <w:b/>
              </w:rPr>
            </w:pPr>
            <w:r>
              <w:rPr>
                <w:b/>
              </w:rPr>
              <w:t>Knowledge-sharing mechanisms</w:t>
            </w:r>
          </w:p>
        </w:tc>
      </w:tr>
      <w:tr w:rsidR="00671AA2" w14:paraId="4C5BB6B9" w14:textId="77777777" w:rsidTr="004A384E">
        <w:tc>
          <w:tcPr>
            <w:tcW w:w="2269" w:type="dxa"/>
            <w:vAlign w:val="center"/>
          </w:tcPr>
          <w:p w14:paraId="2D4AE28D" w14:textId="77777777" w:rsidR="00671AA2" w:rsidRPr="00607E2C" w:rsidRDefault="00671AA2" w:rsidP="00605169">
            <w:pPr>
              <w:jc w:val="center"/>
              <w:rPr>
                <w:b/>
              </w:rPr>
            </w:pPr>
          </w:p>
        </w:tc>
        <w:tc>
          <w:tcPr>
            <w:tcW w:w="4394" w:type="dxa"/>
          </w:tcPr>
          <w:p w14:paraId="2CE1F7D7" w14:textId="77777777" w:rsidR="00671AA2" w:rsidRPr="002A3BEA" w:rsidRDefault="00671AA2" w:rsidP="00605169">
            <w:pPr>
              <w:jc w:val="center"/>
            </w:pPr>
            <w:r>
              <w:rPr>
                <w:b/>
              </w:rPr>
              <w:t>What</w:t>
            </w:r>
            <w:r w:rsidRPr="00607E2C">
              <w:rPr>
                <w:b/>
              </w:rPr>
              <w:t xml:space="preserve"> is it for</w:t>
            </w:r>
          </w:p>
        </w:tc>
        <w:tc>
          <w:tcPr>
            <w:tcW w:w="2835" w:type="dxa"/>
          </w:tcPr>
          <w:p w14:paraId="73EDCAEB" w14:textId="77777777" w:rsidR="00671AA2" w:rsidRDefault="00671AA2" w:rsidP="00605169">
            <w:pPr>
              <w:jc w:val="center"/>
            </w:pPr>
            <w:r>
              <w:rPr>
                <w:b/>
              </w:rPr>
              <w:t>What it offers</w:t>
            </w:r>
          </w:p>
        </w:tc>
        <w:tc>
          <w:tcPr>
            <w:tcW w:w="3260" w:type="dxa"/>
          </w:tcPr>
          <w:p w14:paraId="048E9515" w14:textId="0AD15142" w:rsidR="00671AA2" w:rsidRPr="00C54261" w:rsidRDefault="00671AA2" w:rsidP="00AF10C5">
            <w:pPr>
              <w:jc w:val="center"/>
            </w:pPr>
            <w:r>
              <w:rPr>
                <w:b/>
              </w:rPr>
              <w:t xml:space="preserve">Presentation on web </w:t>
            </w:r>
          </w:p>
        </w:tc>
        <w:tc>
          <w:tcPr>
            <w:tcW w:w="2552" w:type="dxa"/>
          </w:tcPr>
          <w:p w14:paraId="6CF9F5E8" w14:textId="77777777" w:rsidR="00671AA2" w:rsidRPr="004074DC" w:rsidRDefault="00671AA2" w:rsidP="00605169">
            <w:pPr>
              <w:jc w:val="center"/>
            </w:pPr>
            <w:r>
              <w:rPr>
                <w:b/>
              </w:rPr>
              <w:t xml:space="preserve">For further information, including how to apply, please see </w:t>
            </w:r>
            <w:r w:rsidRPr="00F30DC0">
              <w:rPr>
                <w:b/>
                <w:color w:val="4472C4" w:themeColor="accent5"/>
              </w:rPr>
              <w:t>here</w:t>
            </w:r>
          </w:p>
        </w:tc>
      </w:tr>
      <w:tr w:rsidR="00671AA2" w14:paraId="62F168EA" w14:textId="77777777" w:rsidTr="004A384E">
        <w:tc>
          <w:tcPr>
            <w:tcW w:w="2269" w:type="dxa"/>
            <w:vAlign w:val="center"/>
          </w:tcPr>
          <w:p w14:paraId="757DB158" w14:textId="77777777" w:rsidR="00671AA2" w:rsidRPr="004852AF" w:rsidRDefault="00671AA2" w:rsidP="00605169">
            <w:pPr>
              <w:jc w:val="center"/>
              <w:rPr>
                <w:b/>
              </w:rPr>
            </w:pPr>
            <w:r w:rsidRPr="00607E2C">
              <w:rPr>
                <w:b/>
              </w:rPr>
              <w:t>Capacity 4DEV</w:t>
            </w:r>
          </w:p>
        </w:tc>
        <w:tc>
          <w:tcPr>
            <w:tcW w:w="4394" w:type="dxa"/>
          </w:tcPr>
          <w:p w14:paraId="72096A83" w14:textId="77777777" w:rsidR="00671AA2" w:rsidRDefault="00671AA2" w:rsidP="00605169">
            <w:pPr>
              <w:jc w:val="both"/>
            </w:pPr>
            <w:r w:rsidRPr="002A3BEA">
              <w:t>Capacity4dev is the European Commission’s knowledge sharing platform for International Partnerships where you can share, learn and collaborate with colleagues and relevant stakeholders. Launched in 2009, members include EU staff, as well as development professionals from EU member states, partner governments, civil society, NGO's, international organisations, and the private sector.</w:t>
            </w:r>
          </w:p>
        </w:tc>
        <w:tc>
          <w:tcPr>
            <w:tcW w:w="2835" w:type="dxa"/>
          </w:tcPr>
          <w:p w14:paraId="6E481301" w14:textId="77777777" w:rsidR="00671AA2" w:rsidRDefault="00671AA2" w:rsidP="00605169">
            <w:pPr>
              <w:jc w:val="both"/>
            </w:pPr>
            <w:r>
              <w:t>Capacity4dev aims to improve capacity development through knowledge sharing by:</w:t>
            </w:r>
          </w:p>
          <w:p w14:paraId="5E0E1176" w14:textId="77777777" w:rsidR="00671AA2" w:rsidRDefault="00671AA2" w:rsidP="00671AA2">
            <w:pPr>
              <w:pStyle w:val="ListParagraph"/>
              <w:numPr>
                <w:ilvl w:val="0"/>
                <w:numId w:val="38"/>
              </w:numPr>
              <w:contextualSpacing/>
              <w:jc w:val="both"/>
            </w:pPr>
            <w:r>
              <w:t>Consolidating knowledge and building an institutional memory</w:t>
            </w:r>
          </w:p>
          <w:p w14:paraId="5CC0BEB2" w14:textId="77777777" w:rsidR="00671AA2" w:rsidRDefault="00671AA2" w:rsidP="00671AA2">
            <w:pPr>
              <w:pStyle w:val="ListParagraph"/>
              <w:numPr>
                <w:ilvl w:val="0"/>
                <w:numId w:val="38"/>
              </w:numPr>
              <w:contextualSpacing/>
              <w:jc w:val="both"/>
            </w:pPr>
            <w:r>
              <w:t>Supporting thematic expertise</w:t>
            </w:r>
          </w:p>
          <w:p w14:paraId="6960A2E8" w14:textId="77777777" w:rsidR="00671AA2" w:rsidRDefault="00671AA2" w:rsidP="00671AA2">
            <w:pPr>
              <w:pStyle w:val="ListParagraph"/>
              <w:numPr>
                <w:ilvl w:val="0"/>
                <w:numId w:val="38"/>
              </w:numPr>
              <w:contextualSpacing/>
              <w:jc w:val="both"/>
            </w:pPr>
            <w:r>
              <w:t>Enabling cross-learning among practitioners from EU institutions and other organisations</w:t>
            </w:r>
          </w:p>
          <w:p w14:paraId="3B567BDE" w14:textId="77777777" w:rsidR="00671AA2" w:rsidRDefault="00671AA2" w:rsidP="00671AA2">
            <w:pPr>
              <w:pStyle w:val="ListParagraph"/>
              <w:numPr>
                <w:ilvl w:val="0"/>
                <w:numId w:val="38"/>
              </w:numPr>
              <w:contextualSpacing/>
              <w:jc w:val="both"/>
            </w:pPr>
            <w:r>
              <w:t xml:space="preserve">Consolidating knowledge sharing tools and communities of practice around a </w:t>
            </w:r>
            <w:r>
              <w:lastRenderedPageBreak/>
              <w:t xml:space="preserve">common environment </w:t>
            </w:r>
          </w:p>
        </w:tc>
        <w:tc>
          <w:tcPr>
            <w:tcW w:w="3260" w:type="dxa"/>
          </w:tcPr>
          <w:p w14:paraId="7FDAC877" w14:textId="77777777" w:rsidR="00671AA2" w:rsidRDefault="00671AA2" w:rsidP="00605169">
            <w:r w:rsidRPr="00C54261">
              <w:lastRenderedPageBreak/>
              <w:t>Capacity4dev: Connecting the development community</w:t>
            </w:r>
          </w:p>
          <w:p w14:paraId="07496EC0" w14:textId="77777777" w:rsidR="00671AA2" w:rsidRDefault="00671AA2" w:rsidP="00605169"/>
          <w:p w14:paraId="272A766C" w14:textId="77777777" w:rsidR="00671AA2" w:rsidRDefault="00671AA2" w:rsidP="00605169">
            <w:r w:rsidRPr="00607E2C">
              <w:t>https://www.youtube.com/watch?v=yz0FwnCR5Vw&amp;t=9s</w:t>
            </w:r>
          </w:p>
        </w:tc>
        <w:tc>
          <w:tcPr>
            <w:tcW w:w="2552" w:type="dxa"/>
          </w:tcPr>
          <w:p w14:paraId="230DC954" w14:textId="77777777" w:rsidR="00671AA2" w:rsidRDefault="00671AA2" w:rsidP="00605169">
            <w:pPr>
              <w:jc w:val="both"/>
            </w:pPr>
            <w:r w:rsidRPr="004074DC">
              <w:t>https://webgate.ec.europa.eu/intpa-academy/pluginfile.php/23453/mod_resource/content/4/How%20to%20INTPA%20general.mp4</w:t>
            </w:r>
            <w:r>
              <w:t xml:space="preserve"> </w:t>
            </w:r>
          </w:p>
        </w:tc>
      </w:tr>
      <w:tr w:rsidR="00671AA2" w14:paraId="68505837" w14:textId="77777777" w:rsidTr="004A384E">
        <w:tc>
          <w:tcPr>
            <w:tcW w:w="2269" w:type="dxa"/>
            <w:vAlign w:val="center"/>
          </w:tcPr>
          <w:p w14:paraId="6252CB32" w14:textId="77777777" w:rsidR="00671AA2" w:rsidRPr="004852AF" w:rsidRDefault="00671AA2" w:rsidP="00605169">
            <w:pPr>
              <w:jc w:val="center"/>
              <w:rPr>
                <w:b/>
              </w:rPr>
            </w:pPr>
            <w:r w:rsidRPr="004852AF">
              <w:rPr>
                <w:b/>
              </w:rPr>
              <w:t>INTPA Academy</w:t>
            </w:r>
          </w:p>
          <w:p w14:paraId="1D4A367A" w14:textId="77777777" w:rsidR="00671AA2" w:rsidRPr="004852AF" w:rsidRDefault="00671AA2" w:rsidP="00605169">
            <w:pPr>
              <w:jc w:val="center"/>
              <w:rPr>
                <w:b/>
              </w:rPr>
            </w:pPr>
          </w:p>
        </w:tc>
        <w:tc>
          <w:tcPr>
            <w:tcW w:w="4394" w:type="dxa"/>
          </w:tcPr>
          <w:p w14:paraId="43189CB8" w14:textId="77777777" w:rsidR="00671AA2" w:rsidRDefault="00671AA2" w:rsidP="00605169">
            <w:pPr>
              <w:jc w:val="both"/>
            </w:pPr>
            <w:r>
              <w:t>T</w:t>
            </w:r>
            <w:r w:rsidRPr="00607E2C">
              <w:t>he Academy is open to the international development community in order to promote policy coherence and learning, as well as to everybody who is interested in the resources.</w:t>
            </w:r>
          </w:p>
        </w:tc>
        <w:tc>
          <w:tcPr>
            <w:tcW w:w="2835" w:type="dxa"/>
          </w:tcPr>
          <w:p w14:paraId="224113BD" w14:textId="77777777" w:rsidR="00671AA2" w:rsidRDefault="00671AA2" w:rsidP="00605169">
            <w:pPr>
              <w:jc w:val="both"/>
            </w:pPr>
            <w:r w:rsidRPr="000271DA">
              <w:t>INTPA Academy</w:t>
            </w:r>
            <w:r>
              <w:t xml:space="preserve"> offers </w:t>
            </w:r>
            <w:r w:rsidRPr="004852AF">
              <w:t>access to the required know-how, add value to the learning content initially produced for staff through sharing with others, harmonise development cooperation actions through broad dissemination of INTPA's approaches and increase visibility of INTPA's actions and ways of operating.</w:t>
            </w:r>
          </w:p>
        </w:tc>
        <w:tc>
          <w:tcPr>
            <w:tcW w:w="3260" w:type="dxa"/>
          </w:tcPr>
          <w:p w14:paraId="359F0BC8" w14:textId="77777777" w:rsidR="00671AA2" w:rsidRDefault="00671AA2" w:rsidP="00605169">
            <w:r w:rsidRPr="00C54261">
              <w:t xml:space="preserve">DEVCO Academy – online learning 4 development </w:t>
            </w:r>
          </w:p>
          <w:p w14:paraId="3193D47E" w14:textId="77777777" w:rsidR="00671AA2" w:rsidRDefault="00671AA2" w:rsidP="00605169">
            <w:r w:rsidRPr="002A3BEA">
              <w:t>https://www.youtube.com/watch?v=XbLj0UU2bGI</w:t>
            </w:r>
          </w:p>
        </w:tc>
        <w:tc>
          <w:tcPr>
            <w:tcW w:w="2552" w:type="dxa"/>
          </w:tcPr>
          <w:p w14:paraId="0F4BC1A4" w14:textId="77777777" w:rsidR="00671AA2" w:rsidRPr="00607E2C" w:rsidRDefault="00671AA2" w:rsidP="00605169">
            <w:pPr>
              <w:jc w:val="both"/>
            </w:pPr>
            <w:r w:rsidRPr="00F30DC0">
              <w:t>https://webgate.ec.europa.eu/intpa-academy/mod/page/view.php?id=3726</w:t>
            </w:r>
          </w:p>
        </w:tc>
      </w:tr>
    </w:tbl>
    <w:p w14:paraId="6D551330" w14:textId="77777777" w:rsidR="00671AA2" w:rsidRDefault="00671AA2" w:rsidP="00671AA2"/>
    <w:p w14:paraId="73CE1723" w14:textId="77777777" w:rsidR="00671AA2" w:rsidRDefault="00671AA2" w:rsidP="00671AA2"/>
    <w:p w14:paraId="445A9FE9" w14:textId="77777777" w:rsidR="00671AA2" w:rsidRDefault="00671AA2" w:rsidP="00671AA2"/>
    <w:p w14:paraId="63B593C5" w14:textId="77777777" w:rsidR="00671AA2" w:rsidRDefault="00671AA2" w:rsidP="00671AA2"/>
    <w:p w14:paraId="47F2DC82" w14:textId="77777777" w:rsidR="00671AA2" w:rsidRDefault="00671AA2" w:rsidP="00671AA2"/>
    <w:p w14:paraId="4B024F4D" w14:textId="77777777" w:rsidR="00671AA2" w:rsidRDefault="00671AA2" w:rsidP="00671AA2"/>
    <w:p w14:paraId="32A92247" w14:textId="77777777" w:rsidR="00671AA2" w:rsidRDefault="00671AA2" w:rsidP="00671AA2"/>
    <w:p w14:paraId="1D94C773" w14:textId="77777777" w:rsidR="00671AA2" w:rsidRDefault="00671AA2" w:rsidP="00671AA2"/>
    <w:p w14:paraId="6FB44F75" w14:textId="77777777" w:rsidR="00671AA2" w:rsidRDefault="00671AA2" w:rsidP="00671AA2"/>
    <w:p w14:paraId="73591CAF" w14:textId="77777777" w:rsidR="00671AA2" w:rsidRDefault="00671AA2" w:rsidP="00671AA2"/>
    <w:p w14:paraId="3CAE560B" w14:textId="77777777" w:rsidR="00671AA2" w:rsidRDefault="00671AA2" w:rsidP="00671AA2"/>
    <w:p w14:paraId="0727B034" w14:textId="77777777" w:rsidR="00671AA2" w:rsidRDefault="00671AA2" w:rsidP="00671AA2"/>
    <w:p w14:paraId="189F63F4" w14:textId="77777777" w:rsidR="00671AA2" w:rsidRDefault="00671AA2" w:rsidP="00671AA2"/>
    <w:sectPr w:rsidR="00671AA2" w:rsidSect="00A00318">
      <w:pgSz w:w="16838" w:h="11906" w:orient="landscape"/>
      <w:pgMar w:top="1134" w:right="1134" w:bottom="1276"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1FE3"/>
    <w:multiLevelType w:val="hybridMultilevel"/>
    <w:tmpl w:val="00BA46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E31A25"/>
    <w:multiLevelType w:val="hybridMultilevel"/>
    <w:tmpl w:val="4B20806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72686B"/>
    <w:multiLevelType w:val="hybridMultilevel"/>
    <w:tmpl w:val="1FC67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771D1F"/>
    <w:multiLevelType w:val="hybridMultilevel"/>
    <w:tmpl w:val="CC4CFC5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D73BB"/>
    <w:multiLevelType w:val="hybridMultilevel"/>
    <w:tmpl w:val="30022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81108"/>
    <w:multiLevelType w:val="hybridMultilevel"/>
    <w:tmpl w:val="04626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F55CE7"/>
    <w:multiLevelType w:val="hybridMultilevel"/>
    <w:tmpl w:val="C0A2B79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06485C"/>
    <w:multiLevelType w:val="hybridMultilevel"/>
    <w:tmpl w:val="53F443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073E07"/>
    <w:multiLevelType w:val="hybridMultilevel"/>
    <w:tmpl w:val="81229E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9B7DC6"/>
    <w:multiLevelType w:val="hybridMultilevel"/>
    <w:tmpl w:val="88362462"/>
    <w:lvl w:ilvl="0" w:tplc="8D22C1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9170AE1"/>
    <w:multiLevelType w:val="hybridMultilevel"/>
    <w:tmpl w:val="8E1AE6E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C9D2DC0"/>
    <w:multiLevelType w:val="hybridMultilevel"/>
    <w:tmpl w:val="BDD29A32"/>
    <w:lvl w:ilvl="0" w:tplc="1322730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2DE024EB"/>
    <w:multiLevelType w:val="hybridMultilevel"/>
    <w:tmpl w:val="37AC3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1B5108"/>
    <w:multiLevelType w:val="hybridMultilevel"/>
    <w:tmpl w:val="A6827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76900CB"/>
    <w:multiLevelType w:val="hybridMultilevel"/>
    <w:tmpl w:val="D9CE2D9C"/>
    <w:lvl w:ilvl="0" w:tplc="01A8DE00">
      <w:start w:val="1"/>
      <w:numFmt w:val="upperRoman"/>
      <w:lvlText w:val="%1."/>
      <w:lvlJc w:val="right"/>
      <w:pPr>
        <w:ind w:left="720" w:hanging="360"/>
      </w:pPr>
      <w:rPr>
        <w:b/>
        <w:color w:val="1F4E79" w:themeColor="accent1"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A74B7B"/>
    <w:multiLevelType w:val="multilevel"/>
    <w:tmpl w:val="CB76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3A581E"/>
    <w:multiLevelType w:val="hybridMultilevel"/>
    <w:tmpl w:val="9ECEC0B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2D4EAE"/>
    <w:multiLevelType w:val="hybridMultilevel"/>
    <w:tmpl w:val="225ED1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1032D2"/>
    <w:multiLevelType w:val="hybridMultilevel"/>
    <w:tmpl w:val="AA6C9B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4455651"/>
    <w:multiLevelType w:val="hybridMultilevel"/>
    <w:tmpl w:val="313AD4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53D6C24"/>
    <w:multiLevelType w:val="hybridMultilevel"/>
    <w:tmpl w:val="5A306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3F292F"/>
    <w:multiLevelType w:val="hybridMultilevel"/>
    <w:tmpl w:val="D2EE7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66D0863"/>
    <w:multiLevelType w:val="hybridMultilevel"/>
    <w:tmpl w:val="9B22074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E361C8"/>
    <w:multiLevelType w:val="hybridMultilevel"/>
    <w:tmpl w:val="FA16AC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B437F57"/>
    <w:multiLevelType w:val="hybridMultilevel"/>
    <w:tmpl w:val="FA1C859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EE6399"/>
    <w:multiLevelType w:val="hybridMultilevel"/>
    <w:tmpl w:val="C19AA506"/>
    <w:lvl w:ilvl="0" w:tplc="584A749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431F51"/>
    <w:multiLevelType w:val="hybridMultilevel"/>
    <w:tmpl w:val="5FC0CC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F65FB3"/>
    <w:multiLevelType w:val="hybridMultilevel"/>
    <w:tmpl w:val="1FFE9C9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1087383"/>
    <w:multiLevelType w:val="hybridMultilevel"/>
    <w:tmpl w:val="801C4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30F35C0"/>
    <w:multiLevelType w:val="hybridMultilevel"/>
    <w:tmpl w:val="6E567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B404A8"/>
    <w:multiLevelType w:val="hybridMultilevel"/>
    <w:tmpl w:val="A06CD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E5533F9"/>
    <w:multiLevelType w:val="hybridMultilevel"/>
    <w:tmpl w:val="3BA2321A"/>
    <w:lvl w:ilvl="0" w:tplc="6CC675C0">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EEA6F9A"/>
    <w:multiLevelType w:val="hybridMultilevel"/>
    <w:tmpl w:val="8870D48C"/>
    <w:lvl w:ilvl="0" w:tplc="A5C897F0">
      <w:start w:val="1"/>
      <w:numFmt w:val="bullet"/>
      <w:lvlText w:val="•"/>
      <w:lvlJc w:val="left"/>
      <w:pPr>
        <w:tabs>
          <w:tab w:val="num" w:pos="720"/>
        </w:tabs>
        <w:ind w:left="720" w:hanging="360"/>
      </w:pPr>
      <w:rPr>
        <w:rFonts w:ascii="Arial" w:hAnsi="Arial" w:hint="default"/>
      </w:rPr>
    </w:lvl>
    <w:lvl w:ilvl="1" w:tplc="76726E78" w:tentative="1">
      <w:start w:val="1"/>
      <w:numFmt w:val="bullet"/>
      <w:lvlText w:val="•"/>
      <w:lvlJc w:val="left"/>
      <w:pPr>
        <w:tabs>
          <w:tab w:val="num" w:pos="1440"/>
        </w:tabs>
        <w:ind w:left="1440" w:hanging="360"/>
      </w:pPr>
      <w:rPr>
        <w:rFonts w:ascii="Arial" w:hAnsi="Arial" w:hint="default"/>
      </w:rPr>
    </w:lvl>
    <w:lvl w:ilvl="2" w:tplc="6CF2FC9C" w:tentative="1">
      <w:start w:val="1"/>
      <w:numFmt w:val="bullet"/>
      <w:lvlText w:val="•"/>
      <w:lvlJc w:val="left"/>
      <w:pPr>
        <w:tabs>
          <w:tab w:val="num" w:pos="2160"/>
        </w:tabs>
        <w:ind w:left="2160" w:hanging="360"/>
      </w:pPr>
      <w:rPr>
        <w:rFonts w:ascii="Arial" w:hAnsi="Arial" w:hint="default"/>
      </w:rPr>
    </w:lvl>
    <w:lvl w:ilvl="3" w:tplc="B69E7038" w:tentative="1">
      <w:start w:val="1"/>
      <w:numFmt w:val="bullet"/>
      <w:lvlText w:val="•"/>
      <w:lvlJc w:val="left"/>
      <w:pPr>
        <w:tabs>
          <w:tab w:val="num" w:pos="2880"/>
        </w:tabs>
        <w:ind w:left="2880" w:hanging="360"/>
      </w:pPr>
      <w:rPr>
        <w:rFonts w:ascii="Arial" w:hAnsi="Arial" w:hint="default"/>
      </w:rPr>
    </w:lvl>
    <w:lvl w:ilvl="4" w:tplc="AB3CCFEE" w:tentative="1">
      <w:start w:val="1"/>
      <w:numFmt w:val="bullet"/>
      <w:lvlText w:val="•"/>
      <w:lvlJc w:val="left"/>
      <w:pPr>
        <w:tabs>
          <w:tab w:val="num" w:pos="3600"/>
        </w:tabs>
        <w:ind w:left="3600" w:hanging="360"/>
      </w:pPr>
      <w:rPr>
        <w:rFonts w:ascii="Arial" w:hAnsi="Arial" w:hint="default"/>
      </w:rPr>
    </w:lvl>
    <w:lvl w:ilvl="5" w:tplc="6596966A" w:tentative="1">
      <w:start w:val="1"/>
      <w:numFmt w:val="bullet"/>
      <w:lvlText w:val="•"/>
      <w:lvlJc w:val="left"/>
      <w:pPr>
        <w:tabs>
          <w:tab w:val="num" w:pos="4320"/>
        </w:tabs>
        <w:ind w:left="4320" w:hanging="360"/>
      </w:pPr>
      <w:rPr>
        <w:rFonts w:ascii="Arial" w:hAnsi="Arial" w:hint="default"/>
      </w:rPr>
    </w:lvl>
    <w:lvl w:ilvl="6" w:tplc="0F6AD3CA" w:tentative="1">
      <w:start w:val="1"/>
      <w:numFmt w:val="bullet"/>
      <w:lvlText w:val="•"/>
      <w:lvlJc w:val="left"/>
      <w:pPr>
        <w:tabs>
          <w:tab w:val="num" w:pos="5040"/>
        </w:tabs>
        <w:ind w:left="5040" w:hanging="360"/>
      </w:pPr>
      <w:rPr>
        <w:rFonts w:ascii="Arial" w:hAnsi="Arial" w:hint="default"/>
      </w:rPr>
    </w:lvl>
    <w:lvl w:ilvl="7" w:tplc="72EC2A88" w:tentative="1">
      <w:start w:val="1"/>
      <w:numFmt w:val="bullet"/>
      <w:lvlText w:val="•"/>
      <w:lvlJc w:val="left"/>
      <w:pPr>
        <w:tabs>
          <w:tab w:val="num" w:pos="5760"/>
        </w:tabs>
        <w:ind w:left="5760" w:hanging="360"/>
      </w:pPr>
      <w:rPr>
        <w:rFonts w:ascii="Arial" w:hAnsi="Arial" w:hint="default"/>
      </w:rPr>
    </w:lvl>
    <w:lvl w:ilvl="8" w:tplc="0A325DD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04F7574"/>
    <w:multiLevelType w:val="hybridMultilevel"/>
    <w:tmpl w:val="70E436E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AB31F6"/>
    <w:multiLevelType w:val="hybridMultilevel"/>
    <w:tmpl w:val="D6E8FFB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B25324B"/>
    <w:multiLevelType w:val="hybridMultilevel"/>
    <w:tmpl w:val="23503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BB7CF3"/>
    <w:multiLevelType w:val="hybridMultilevel"/>
    <w:tmpl w:val="9F225B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0C2A3A"/>
    <w:multiLevelType w:val="hybridMultilevel"/>
    <w:tmpl w:val="5D38A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4187E83"/>
    <w:multiLevelType w:val="hybridMultilevel"/>
    <w:tmpl w:val="9A949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B0E1A12"/>
    <w:multiLevelType w:val="hybridMultilevel"/>
    <w:tmpl w:val="D6924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30"/>
  </w:num>
  <w:num w:numId="4">
    <w:abstractNumId w:val="32"/>
  </w:num>
  <w:num w:numId="5">
    <w:abstractNumId w:val="11"/>
  </w:num>
  <w:num w:numId="6">
    <w:abstractNumId w:val="31"/>
  </w:num>
  <w:num w:numId="7">
    <w:abstractNumId w:val="37"/>
  </w:num>
  <w:num w:numId="8">
    <w:abstractNumId w:val="13"/>
  </w:num>
  <w:num w:numId="9">
    <w:abstractNumId w:val="0"/>
  </w:num>
  <w:num w:numId="10">
    <w:abstractNumId w:val="15"/>
  </w:num>
  <w:num w:numId="11">
    <w:abstractNumId w:val="6"/>
  </w:num>
  <w:num w:numId="12">
    <w:abstractNumId w:val="18"/>
  </w:num>
  <w:num w:numId="13">
    <w:abstractNumId w:val="38"/>
  </w:num>
  <w:num w:numId="14">
    <w:abstractNumId w:val="34"/>
  </w:num>
  <w:num w:numId="15">
    <w:abstractNumId w:val="16"/>
  </w:num>
  <w:num w:numId="16">
    <w:abstractNumId w:val="9"/>
  </w:num>
  <w:num w:numId="17">
    <w:abstractNumId w:val="2"/>
  </w:num>
  <w:num w:numId="18">
    <w:abstractNumId w:val="1"/>
  </w:num>
  <w:num w:numId="19">
    <w:abstractNumId w:val="20"/>
  </w:num>
  <w:num w:numId="20">
    <w:abstractNumId w:val="8"/>
  </w:num>
  <w:num w:numId="21">
    <w:abstractNumId w:val="25"/>
  </w:num>
  <w:num w:numId="22">
    <w:abstractNumId w:val="23"/>
  </w:num>
  <w:num w:numId="23">
    <w:abstractNumId w:val="19"/>
  </w:num>
  <w:num w:numId="24">
    <w:abstractNumId w:val="33"/>
  </w:num>
  <w:num w:numId="25">
    <w:abstractNumId w:val="22"/>
  </w:num>
  <w:num w:numId="26">
    <w:abstractNumId w:val="24"/>
  </w:num>
  <w:num w:numId="27">
    <w:abstractNumId w:val="39"/>
  </w:num>
  <w:num w:numId="28">
    <w:abstractNumId w:val="10"/>
  </w:num>
  <w:num w:numId="29">
    <w:abstractNumId w:val="17"/>
  </w:num>
  <w:num w:numId="30">
    <w:abstractNumId w:val="5"/>
  </w:num>
  <w:num w:numId="31">
    <w:abstractNumId w:val="7"/>
  </w:num>
  <w:num w:numId="32">
    <w:abstractNumId w:val="12"/>
  </w:num>
  <w:num w:numId="33">
    <w:abstractNumId w:val="4"/>
  </w:num>
  <w:num w:numId="34">
    <w:abstractNumId w:val="14"/>
  </w:num>
  <w:num w:numId="35">
    <w:abstractNumId w:val="26"/>
  </w:num>
  <w:num w:numId="36">
    <w:abstractNumId w:val="3"/>
  </w:num>
  <w:num w:numId="37">
    <w:abstractNumId w:val="27"/>
  </w:num>
  <w:num w:numId="38">
    <w:abstractNumId w:val="35"/>
  </w:num>
  <w:num w:numId="39">
    <w:abstractNumId w:val="29"/>
  </w:num>
  <w:num w:numId="40">
    <w:abstractNumId w:val="28"/>
  </w:num>
  <w:num w:numId="41">
    <w:abstractNumId w:val="21"/>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285ECE"/>
    <w:rsid w:val="000131BF"/>
    <w:rsid w:val="00054488"/>
    <w:rsid w:val="00063AD2"/>
    <w:rsid w:val="0009266E"/>
    <w:rsid w:val="000B4293"/>
    <w:rsid w:val="000F4BD4"/>
    <w:rsid w:val="0010197F"/>
    <w:rsid w:val="001049DB"/>
    <w:rsid w:val="00144F1F"/>
    <w:rsid w:val="00155974"/>
    <w:rsid w:val="00165DD1"/>
    <w:rsid w:val="001969A3"/>
    <w:rsid w:val="001B1B3D"/>
    <w:rsid w:val="00220FE6"/>
    <w:rsid w:val="00234CE9"/>
    <w:rsid w:val="00261970"/>
    <w:rsid w:val="00262BF1"/>
    <w:rsid w:val="00282C90"/>
    <w:rsid w:val="00285ECE"/>
    <w:rsid w:val="00292EE3"/>
    <w:rsid w:val="002949EB"/>
    <w:rsid w:val="002B78B6"/>
    <w:rsid w:val="002F3B02"/>
    <w:rsid w:val="002F5DB6"/>
    <w:rsid w:val="00310D2A"/>
    <w:rsid w:val="00336D35"/>
    <w:rsid w:val="00364BE8"/>
    <w:rsid w:val="00381AAB"/>
    <w:rsid w:val="00385973"/>
    <w:rsid w:val="003E2AC3"/>
    <w:rsid w:val="003E57AD"/>
    <w:rsid w:val="003E5C5D"/>
    <w:rsid w:val="00450771"/>
    <w:rsid w:val="00453366"/>
    <w:rsid w:val="0045450F"/>
    <w:rsid w:val="004835EB"/>
    <w:rsid w:val="004A009E"/>
    <w:rsid w:val="004A384E"/>
    <w:rsid w:val="004B45FE"/>
    <w:rsid w:val="004B46E8"/>
    <w:rsid w:val="004C4350"/>
    <w:rsid w:val="004C60B1"/>
    <w:rsid w:val="004C68F4"/>
    <w:rsid w:val="004E254C"/>
    <w:rsid w:val="005060AF"/>
    <w:rsid w:val="005210AD"/>
    <w:rsid w:val="00526EE7"/>
    <w:rsid w:val="005362E4"/>
    <w:rsid w:val="00541B70"/>
    <w:rsid w:val="00577957"/>
    <w:rsid w:val="00581168"/>
    <w:rsid w:val="00581542"/>
    <w:rsid w:val="00593641"/>
    <w:rsid w:val="005A1296"/>
    <w:rsid w:val="005A1985"/>
    <w:rsid w:val="005A79FF"/>
    <w:rsid w:val="005C76AA"/>
    <w:rsid w:val="005E0B98"/>
    <w:rsid w:val="005E10EB"/>
    <w:rsid w:val="005E565D"/>
    <w:rsid w:val="005F0B4D"/>
    <w:rsid w:val="005F0EF3"/>
    <w:rsid w:val="005F4568"/>
    <w:rsid w:val="006073CF"/>
    <w:rsid w:val="0063640E"/>
    <w:rsid w:val="00643528"/>
    <w:rsid w:val="00644531"/>
    <w:rsid w:val="00644596"/>
    <w:rsid w:val="006516AD"/>
    <w:rsid w:val="00651744"/>
    <w:rsid w:val="00653670"/>
    <w:rsid w:val="00671047"/>
    <w:rsid w:val="00671AA2"/>
    <w:rsid w:val="00672936"/>
    <w:rsid w:val="00674F52"/>
    <w:rsid w:val="006806FB"/>
    <w:rsid w:val="006910B2"/>
    <w:rsid w:val="006A617C"/>
    <w:rsid w:val="006B10C7"/>
    <w:rsid w:val="006C21E6"/>
    <w:rsid w:val="006D0A51"/>
    <w:rsid w:val="006E0699"/>
    <w:rsid w:val="0070304B"/>
    <w:rsid w:val="007071FA"/>
    <w:rsid w:val="0071086F"/>
    <w:rsid w:val="007128B2"/>
    <w:rsid w:val="00712991"/>
    <w:rsid w:val="00720CBF"/>
    <w:rsid w:val="0072666F"/>
    <w:rsid w:val="00731F4A"/>
    <w:rsid w:val="007330AF"/>
    <w:rsid w:val="0073425B"/>
    <w:rsid w:val="00734CDD"/>
    <w:rsid w:val="00745B60"/>
    <w:rsid w:val="007505BE"/>
    <w:rsid w:val="00765365"/>
    <w:rsid w:val="00775F13"/>
    <w:rsid w:val="0078307F"/>
    <w:rsid w:val="00786D81"/>
    <w:rsid w:val="0079481E"/>
    <w:rsid w:val="007A4F5F"/>
    <w:rsid w:val="007B2751"/>
    <w:rsid w:val="007C776A"/>
    <w:rsid w:val="007E3AD0"/>
    <w:rsid w:val="007E763A"/>
    <w:rsid w:val="008203D7"/>
    <w:rsid w:val="008236C2"/>
    <w:rsid w:val="00833DFE"/>
    <w:rsid w:val="00836B3D"/>
    <w:rsid w:val="0084191D"/>
    <w:rsid w:val="008535EC"/>
    <w:rsid w:val="008A5798"/>
    <w:rsid w:val="008C074C"/>
    <w:rsid w:val="008C614B"/>
    <w:rsid w:val="008D288D"/>
    <w:rsid w:val="008D40B7"/>
    <w:rsid w:val="008D4BD4"/>
    <w:rsid w:val="008E7B22"/>
    <w:rsid w:val="0091228A"/>
    <w:rsid w:val="00913AD3"/>
    <w:rsid w:val="009310F5"/>
    <w:rsid w:val="00934CAA"/>
    <w:rsid w:val="00951DC5"/>
    <w:rsid w:val="00961B38"/>
    <w:rsid w:val="00966E5B"/>
    <w:rsid w:val="0097275D"/>
    <w:rsid w:val="00976329"/>
    <w:rsid w:val="00984878"/>
    <w:rsid w:val="009B043D"/>
    <w:rsid w:val="009B6559"/>
    <w:rsid w:val="009C7B81"/>
    <w:rsid w:val="009D4D25"/>
    <w:rsid w:val="009E2D13"/>
    <w:rsid w:val="009E73C9"/>
    <w:rsid w:val="009F0656"/>
    <w:rsid w:val="00A00318"/>
    <w:rsid w:val="00A02874"/>
    <w:rsid w:val="00A056E1"/>
    <w:rsid w:val="00A266B4"/>
    <w:rsid w:val="00A337A0"/>
    <w:rsid w:val="00A42550"/>
    <w:rsid w:val="00A53592"/>
    <w:rsid w:val="00A5687C"/>
    <w:rsid w:val="00A66857"/>
    <w:rsid w:val="00A82729"/>
    <w:rsid w:val="00AA5384"/>
    <w:rsid w:val="00AA569A"/>
    <w:rsid w:val="00AC00BE"/>
    <w:rsid w:val="00AC63CC"/>
    <w:rsid w:val="00AF10C5"/>
    <w:rsid w:val="00B3715E"/>
    <w:rsid w:val="00B375E0"/>
    <w:rsid w:val="00B411DF"/>
    <w:rsid w:val="00B573E6"/>
    <w:rsid w:val="00B67AFB"/>
    <w:rsid w:val="00B73ACC"/>
    <w:rsid w:val="00B94002"/>
    <w:rsid w:val="00BA0B2E"/>
    <w:rsid w:val="00BA3B6C"/>
    <w:rsid w:val="00BA663B"/>
    <w:rsid w:val="00BA7BBB"/>
    <w:rsid w:val="00BB0EAF"/>
    <w:rsid w:val="00BC4010"/>
    <w:rsid w:val="00C165C9"/>
    <w:rsid w:val="00C217BD"/>
    <w:rsid w:val="00C42B54"/>
    <w:rsid w:val="00C465EF"/>
    <w:rsid w:val="00C7127C"/>
    <w:rsid w:val="00C77F74"/>
    <w:rsid w:val="00C8232E"/>
    <w:rsid w:val="00C83386"/>
    <w:rsid w:val="00CD4319"/>
    <w:rsid w:val="00CE02FB"/>
    <w:rsid w:val="00CE11B4"/>
    <w:rsid w:val="00CE4A75"/>
    <w:rsid w:val="00CF3538"/>
    <w:rsid w:val="00D07FCB"/>
    <w:rsid w:val="00D40597"/>
    <w:rsid w:val="00D46920"/>
    <w:rsid w:val="00D46C02"/>
    <w:rsid w:val="00D62C6A"/>
    <w:rsid w:val="00D64298"/>
    <w:rsid w:val="00D67B1C"/>
    <w:rsid w:val="00D705F5"/>
    <w:rsid w:val="00D9423F"/>
    <w:rsid w:val="00D977D8"/>
    <w:rsid w:val="00DA142E"/>
    <w:rsid w:val="00DA4A20"/>
    <w:rsid w:val="00DB2E0D"/>
    <w:rsid w:val="00DC0CEF"/>
    <w:rsid w:val="00DC4851"/>
    <w:rsid w:val="00DC7A22"/>
    <w:rsid w:val="00DE16B0"/>
    <w:rsid w:val="00DE6425"/>
    <w:rsid w:val="00E06910"/>
    <w:rsid w:val="00E07EC9"/>
    <w:rsid w:val="00E131F0"/>
    <w:rsid w:val="00E36114"/>
    <w:rsid w:val="00E4430C"/>
    <w:rsid w:val="00E47ADA"/>
    <w:rsid w:val="00E641CE"/>
    <w:rsid w:val="00E75790"/>
    <w:rsid w:val="00EA0EC1"/>
    <w:rsid w:val="00EA113C"/>
    <w:rsid w:val="00EB493C"/>
    <w:rsid w:val="00EC0052"/>
    <w:rsid w:val="00EC3E1C"/>
    <w:rsid w:val="00EC57BC"/>
    <w:rsid w:val="00ED01F0"/>
    <w:rsid w:val="00EE2F12"/>
    <w:rsid w:val="00EF7B8D"/>
    <w:rsid w:val="00F154ED"/>
    <w:rsid w:val="00F21948"/>
    <w:rsid w:val="00F55BB0"/>
    <w:rsid w:val="00F600EC"/>
    <w:rsid w:val="00F7280F"/>
    <w:rsid w:val="00F77CB4"/>
    <w:rsid w:val="00F847DE"/>
    <w:rsid w:val="00F936CB"/>
    <w:rsid w:val="00FB5D76"/>
    <w:rsid w:val="00FD1BD8"/>
    <w:rsid w:val="00FE2BE0"/>
    <w:rsid w:val="00FF13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F7EE1"/>
  <w15:chartTrackingRefBased/>
  <w15:docId w15:val="{CFEE6EE7-FE6D-4F5A-B654-2C3A08A1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EC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3E3"/>
    <w:pPr>
      <w:ind w:left="720"/>
    </w:pPr>
  </w:style>
  <w:style w:type="paragraph" w:customStyle="1" w:styleId="OpenQuestionAnswer">
    <w:name w:val="Open Question Answer"/>
    <w:basedOn w:val="Normal"/>
    <w:link w:val="OpenQuestionAnswerChar"/>
    <w:qFormat/>
    <w:rsid w:val="005A79FF"/>
    <w:pPr>
      <w:pBdr>
        <w:left w:val="dotted" w:sz="4" w:space="4" w:color="C5E0B3" w:themeColor="accent6" w:themeTint="66"/>
        <w:right w:val="dotted" w:sz="4" w:space="4" w:color="C5E0B3" w:themeColor="accent6" w:themeTint="66"/>
      </w:pBdr>
      <w:shd w:val="clear" w:color="auto" w:fill="FEFFE7"/>
      <w:spacing w:line="264" w:lineRule="auto"/>
      <w:ind w:left="170"/>
      <w:jc w:val="both"/>
    </w:pPr>
    <w:rPr>
      <w:rFonts w:ascii="Cambria" w:eastAsiaTheme="minorEastAsia" w:hAnsi="Cambria" w:cstheme="minorBidi"/>
      <w:color w:val="1F4E79" w:themeColor="accent1" w:themeShade="80"/>
      <w:sz w:val="21"/>
      <w:szCs w:val="21"/>
    </w:rPr>
  </w:style>
  <w:style w:type="character" w:customStyle="1" w:styleId="OpenQuestionAnswerChar">
    <w:name w:val="Open Question Answer Char"/>
    <w:basedOn w:val="DefaultParagraphFont"/>
    <w:link w:val="OpenQuestionAnswer"/>
    <w:rsid w:val="005A79FF"/>
    <w:rPr>
      <w:rFonts w:ascii="Cambria" w:eastAsiaTheme="minorEastAsia" w:hAnsi="Cambria"/>
      <w:color w:val="1F4E79" w:themeColor="accent1" w:themeShade="80"/>
      <w:sz w:val="21"/>
      <w:szCs w:val="21"/>
      <w:shd w:val="clear" w:color="auto" w:fill="FEFFE7"/>
    </w:rPr>
  </w:style>
  <w:style w:type="paragraph" w:customStyle="1" w:styleId="Default">
    <w:name w:val="Default"/>
    <w:rsid w:val="00381AAB"/>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966E5B"/>
    <w:pPr>
      <w:spacing w:before="100" w:beforeAutospacing="1" w:after="100" w:afterAutospacing="1"/>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61B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B38"/>
    <w:rPr>
      <w:rFonts w:ascii="Segoe UI" w:hAnsi="Segoe UI" w:cs="Segoe UI"/>
      <w:sz w:val="18"/>
      <w:szCs w:val="18"/>
    </w:rPr>
  </w:style>
  <w:style w:type="table" w:styleId="TableGrid">
    <w:name w:val="Table Grid"/>
    <w:basedOn w:val="TableNormal"/>
    <w:uiPriority w:val="39"/>
    <w:rsid w:val="00671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5974"/>
    <w:rPr>
      <w:sz w:val="16"/>
      <w:szCs w:val="16"/>
    </w:rPr>
  </w:style>
  <w:style w:type="paragraph" w:styleId="CommentText">
    <w:name w:val="annotation text"/>
    <w:basedOn w:val="Normal"/>
    <w:link w:val="CommentTextChar"/>
    <w:uiPriority w:val="99"/>
    <w:semiHidden/>
    <w:unhideWhenUsed/>
    <w:rsid w:val="00155974"/>
    <w:rPr>
      <w:sz w:val="20"/>
      <w:szCs w:val="20"/>
    </w:rPr>
  </w:style>
  <w:style w:type="character" w:customStyle="1" w:styleId="CommentTextChar">
    <w:name w:val="Comment Text Char"/>
    <w:basedOn w:val="DefaultParagraphFont"/>
    <w:link w:val="CommentText"/>
    <w:uiPriority w:val="99"/>
    <w:semiHidden/>
    <w:rsid w:val="00155974"/>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55974"/>
    <w:rPr>
      <w:b/>
      <w:bCs/>
    </w:rPr>
  </w:style>
  <w:style w:type="character" w:customStyle="1" w:styleId="CommentSubjectChar">
    <w:name w:val="Comment Subject Char"/>
    <w:basedOn w:val="CommentTextChar"/>
    <w:link w:val="CommentSubject"/>
    <w:uiPriority w:val="99"/>
    <w:semiHidden/>
    <w:rsid w:val="00155974"/>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07158">
      <w:bodyDiv w:val="1"/>
      <w:marLeft w:val="0"/>
      <w:marRight w:val="0"/>
      <w:marTop w:val="0"/>
      <w:marBottom w:val="0"/>
      <w:divBdr>
        <w:top w:val="none" w:sz="0" w:space="0" w:color="auto"/>
        <w:left w:val="none" w:sz="0" w:space="0" w:color="auto"/>
        <w:bottom w:val="none" w:sz="0" w:space="0" w:color="auto"/>
        <w:right w:val="none" w:sz="0" w:space="0" w:color="auto"/>
      </w:divBdr>
    </w:div>
    <w:div w:id="105659022">
      <w:bodyDiv w:val="1"/>
      <w:marLeft w:val="0"/>
      <w:marRight w:val="0"/>
      <w:marTop w:val="0"/>
      <w:marBottom w:val="0"/>
      <w:divBdr>
        <w:top w:val="none" w:sz="0" w:space="0" w:color="auto"/>
        <w:left w:val="none" w:sz="0" w:space="0" w:color="auto"/>
        <w:bottom w:val="none" w:sz="0" w:space="0" w:color="auto"/>
        <w:right w:val="none" w:sz="0" w:space="0" w:color="auto"/>
      </w:divBdr>
    </w:div>
    <w:div w:id="182863549">
      <w:bodyDiv w:val="1"/>
      <w:marLeft w:val="0"/>
      <w:marRight w:val="0"/>
      <w:marTop w:val="0"/>
      <w:marBottom w:val="0"/>
      <w:divBdr>
        <w:top w:val="none" w:sz="0" w:space="0" w:color="auto"/>
        <w:left w:val="none" w:sz="0" w:space="0" w:color="auto"/>
        <w:bottom w:val="none" w:sz="0" w:space="0" w:color="auto"/>
        <w:right w:val="none" w:sz="0" w:space="0" w:color="auto"/>
      </w:divBdr>
    </w:div>
    <w:div w:id="652370868">
      <w:bodyDiv w:val="1"/>
      <w:marLeft w:val="0"/>
      <w:marRight w:val="0"/>
      <w:marTop w:val="0"/>
      <w:marBottom w:val="0"/>
      <w:divBdr>
        <w:top w:val="none" w:sz="0" w:space="0" w:color="auto"/>
        <w:left w:val="none" w:sz="0" w:space="0" w:color="auto"/>
        <w:bottom w:val="none" w:sz="0" w:space="0" w:color="auto"/>
        <w:right w:val="none" w:sz="0" w:space="0" w:color="auto"/>
      </w:divBdr>
    </w:div>
    <w:div w:id="697970584">
      <w:bodyDiv w:val="1"/>
      <w:marLeft w:val="0"/>
      <w:marRight w:val="0"/>
      <w:marTop w:val="0"/>
      <w:marBottom w:val="0"/>
      <w:divBdr>
        <w:top w:val="none" w:sz="0" w:space="0" w:color="auto"/>
        <w:left w:val="none" w:sz="0" w:space="0" w:color="auto"/>
        <w:bottom w:val="none" w:sz="0" w:space="0" w:color="auto"/>
        <w:right w:val="none" w:sz="0" w:space="0" w:color="auto"/>
      </w:divBdr>
    </w:div>
    <w:div w:id="767316546">
      <w:bodyDiv w:val="1"/>
      <w:marLeft w:val="0"/>
      <w:marRight w:val="0"/>
      <w:marTop w:val="0"/>
      <w:marBottom w:val="0"/>
      <w:divBdr>
        <w:top w:val="none" w:sz="0" w:space="0" w:color="auto"/>
        <w:left w:val="none" w:sz="0" w:space="0" w:color="auto"/>
        <w:bottom w:val="none" w:sz="0" w:space="0" w:color="auto"/>
        <w:right w:val="none" w:sz="0" w:space="0" w:color="auto"/>
      </w:divBdr>
      <w:divsChild>
        <w:div w:id="1451239691">
          <w:marLeft w:val="360"/>
          <w:marRight w:val="0"/>
          <w:marTop w:val="200"/>
          <w:marBottom w:val="0"/>
          <w:divBdr>
            <w:top w:val="none" w:sz="0" w:space="0" w:color="auto"/>
            <w:left w:val="none" w:sz="0" w:space="0" w:color="auto"/>
            <w:bottom w:val="none" w:sz="0" w:space="0" w:color="auto"/>
            <w:right w:val="none" w:sz="0" w:space="0" w:color="auto"/>
          </w:divBdr>
        </w:div>
        <w:div w:id="1681809734">
          <w:marLeft w:val="360"/>
          <w:marRight w:val="0"/>
          <w:marTop w:val="200"/>
          <w:marBottom w:val="0"/>
          <w:divBdr>
            <w:top w:val="none" w:sz="0" w:space="0" w:color="auto"/>
            <w:left w:val="none" w:sz="0" w:space="0" w:color="auto"/>
            <w:bottom w:val="none" w:sz="0" w:space="0" w:color="auto"/>
            <w:right w:val="none" w:sz="0" w:space="0" w:color="auto"/>
          </w:divBdr>
        </w:div>
        <w:div w:id="1349942204">
          <w:marLeft w:val="360"/>
          <w:marRight w:val="0"/>
          <w:marTop w:val="200"/>
          <w:marBottom w:val="0"/>
          <w:divBdr>
            <w:top w:val="none" w:sz="0" w:space="0" w:color="auto"/>
            <w:left w:val="none" w:sz="0" w:space="0" w:color="auto"/>
            <w:bottom w:val="none" w:sz="0" w:space="0" w:color="auto"/>
            <w:right w:val="none" w:sz="0" w:space="0" w:color="auto"/>
          </w:divBdr>
        </w:div>
        <w:div w:id="400560481">
          <w:marLeft w:val="360"/>
          <w:marRight w:val="0"/>
          <w:marTop w:val="200"/>
          <w:marBottom w:val="0"/>
          <w:divBdr>
            <w:top w:val="none" w:sz="0" w:space="0" w:color="auto"/>
            <w:left w:val="none" w:sz="0" w:space="0" w:color="auto"/>
            <w:bottom w:val="none" w:sz="0" w:space="0" w:color="auto"/>
            <w:right w:val="none" w:sz="0" w:space="0" w:color="auto"/>
          </w:divBdr>
        </w:div>
        <w:div w:id="1838763135">
          <w:marLeft w:val="360"/>
          <w:marRight w:val="0"/>
          <w:marTop w:val="200"/>
          <w:marBottom w:val="0"/>
          <w:divBdr>
            <w:top w:val="none" w:sz="0" w:space="0" w:color="auto"/>
            <w:left w:val="none" w:sz="0" w:space="0" w:color="auto"/>
            <w:bottom w:val="none" w:sz="0" w:space="0" w:color="auto"/>
            <w:right w:val="none" w:sz="0" w:space="0" w:color="auto"/>
          </w:divBdr>
        </w:div>
        <w:div w:id="545991734">
          <w:marLeft w:val="360"/>
          <w:marRight w:val="0"/>
          <w:marTop w:val="200"/>
          <w:marBottom w:val="0"/>
          <w:divBdr>
            <w:top w:val="none" w:sz="0" w:space="0" w:color="auto"/>
            <w:left w:val="none" w:sz="0" w:space="0" w:color="auto"/>
            <w:bottom w:val="none" w:sz="0" w:space="0" w:color="auto"/>
            <w:right w:val="none" w:sz="0" w:space="0" w:color="auto"/>
          </w:divBdr>
        </w:div>
      </w:divsChild>
    </w:div>
    <w:div w:id="806975186">
      <w:bodyDiv w:val="1"/>
      <w:marLeft w:val="0"/>
      <w:marRight w:val="0"/>
      <w:marTop w:val="0"/>
      <w:marBottom w:val="0"/>
      <w:divBdr>
        <w:top w:val="none" w:sz="0" w:space="0" w:color="auto"/>
        <w:left w:val="none" w:sz="0" w:space="0" w:color="auto"/>
        <w:bottom w:val="none" w:sz="0" w:space="0" w:color="auto"/>
        <w:right w:val="none" w:sz="0" w:space="0" w:color="auto"/>
      </w:divBdr>
    </w:div>
    <w:div w:id="845830450">
      <w:bodyDiv w:val="1"/>
      <w:marLeft w:val="0"/>
      <w:marRight w:val="0"/>
      <w:marTop w:val="0"/>
      <w:marBottom w:val="0"/>
      <w:divBdr>
        <w:top w:val="none" w:sz="0" w:space="0" w:color="auto"/>
        <w:left w:val="none" w:sz="0" w:space="0" w:color="auto"/>
        <w:bottom w:val="none" w:sz="0" w:space="0" w:color="auto"/>
        <w:right w:val="none" w:sz="0" w:space="0" w:color="auto"/>
      </w:divBdr>
    </w:div>
    <w:div w:id="913049870">
      <w:bodyDiv w:val="1"/>
      <w:marLeft w:val="0"/>
      <w:marRight w:val="0"/>
      <w:marTop w:val="0"/>
      <w:marBottom w:val="0"/>
      <w:divBdr>
        <w:top w:val="none" w:sz="0" w:space="0" w:color="auto"/>
        <w:left w:val="none" w:sz="0" w:space="0" w:color="auto"/>
        <w:bottom w:val="none" w:sz="0" w:space="0" w:color="auto"/>
        <w:right w:val="none" w:sz="0" w:space="0" w:color="auto"/>
      </w:divBdr>
    </w:div>
    <w:div w:id="955451662">
      <w:bodyDiv w:val="1"/>
      <w:marLeft w:val="0"/>
      <w:marRight w:val="0"/>
      <w:marTop w:val="0"/>
      <w:marBottom w:val="0"/>
      <w:divBdr>
        <w:top w:val="none" w:sz="0" w:space="0" w:color="auto"/>
        <w:left w:val="none" w:sz="0" w:space="0" w:color="auto"/>
        <w:bottom w:val="none" w:sz="0" w:space="0" w:color="auto"/>
        <w:right w:val="none" w:sz="0" w:space="0" w:color="auto"/>
      </w:divBdr>
    </w:div>
    <w:div w:id="1441729762">
      <w:bodyDiv w:val="1"/>
      <w:marLeft w:val="0"/>
      <w:marRight w:val="0"/>
      <w:marTop w:val="0"/>
      <w:marBottom w:val="0"/>
      <w:divBdr>
        <w:top w:val="none" w:sz="0" w:space="0" w:color="auto"/>
        <w:left w:val="none" w:sz="0" w:space="0" w:color="auto"/>
        <w:bottom w:val="none" w:sz="0" w:space="0" w:color="auto"/>
        <w:right w:val="none" w:sz="0" w:space="0" w:color="auto"/>
      </w:divBdr>
    </w:div>
    <w:div w:id="1472013301">
      <w:bodyDiv w:val="1"/>
      <w:marLeft w:val="0"/>
      <w:marRight w:val="0"/>
      <w:marTop w:val="0"/>
      <w:marBottom w:val="0"/>
      <w:divBdr>
        <w:top w:val="none" w:sz="0" w:space="0" w:color="auto"/>
        <w:left w:val="none" w:sz="0" w:space="0" w:color="auto"/>
        <w:bottom w:val="none" w:sz="0" w:space="0" w:color="auto"/>
        <w:right w:val="none" w:sz="0" w:space="0" w:color="auto"/>
      </w:divBdr>
    </w:div>
    <w:div w:id="1641575112">
      <w:bodyDiv w:val="1"/>
      <w:marLeft w:val="0"/>
      <w:marRight w:val="0"/>
      <w:marTop w:val="0"/>
      <w:marBottom w:val="0"/>
      <w:divBdr>
        <w:top w:val="none" w:sz="0" w:space="0" w:color="auto"/>
        <w:left w:val="none" w:sz="0" w:space="0" w:color="auto"/>
        <w:bottom w:val="none" w:sz="0" w:space="0" w:color="auto"/>
        <w:right w:val="none" w:sz="0" w:space="0" w:color="auto"/>
      </w:divBdr>
    </w:div>
    <w:div w:id="1683579861">
      <w:bodyDiv w:val="1"/>
      <w:marLeft w:val="0"/>
      <w:marRight w:val="0"/>
      <w:marTop w:val="0"/>
      <w:marBottom w:val="0"/>
      <w:divBdr>
        <w:top w:val="none" w:sz="0" w:space="0" w:color="auto"/>
        <w:left w:val="none" w:sz="0" w:space="0" w:color="auto"/>
        <w:bottom w:val="none" w:sz="0" w:space="0" w:color="auto"/>
        <w:right w:val="none" w:sz="0" w:space="0" w:color="auto"/>
      </w:divBdr>
    </w:div>
    <w:div w:id="1748263110">
      <w:bodyDiv w:val="1"/>
      <w:marLeft w:val="0"/>
      <w:marRight w:val="0"/>
      <w:marTop w:val="0"/>
      <w:marBottom w:val="0"/>
      <w:divBdr>
        <w:top w:val="none" w:sz="0" w:space="0" w:color="auto"/>
        <w:left w:val="none" w:sz="0" w:space="0" w:color="auto"/>
        <w:bottom w:val="none" w:sz="0" w:space="0" w:color="auto"/>
        <w:right w:val="none" w:sz="0" w:space="0" w:color="auto"/>
      </w:divBdr>
    </w:div>
    <w:div w:id="1964262716">
      <w:bodyDiv w:val="1"/>
      <w:marLeft w:val="0"/>
      <w:marRight w:val="0"/>
      <w:marTop w:val="0"/>
      <w:marBottom w:val="0"/>
      <w:divBdr>
        <w:top w:val="none" w:sz="0" w:space="0" w:color="auto"/>
        <w:left w:val="none" w:sz="0" w:space="0" w:color="auto"/>
        <w:bottom w:val="none" w:sz="0" w:space="0" w:color="auto"/>
        <w:right w:val="none" w:sz="0" w:space="0" w:color="auto"/>
      </w:divBdr>
    </w:div>
    <w:div w:id="203129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EEAS</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JUSKA Zygimantas (EEAS-KIGALI)</dc:creator>
  <cp:keywords/>
  <dc:description/>
  <cp:lastModifiedBy>Yannoussis, Vassilis</cp:lastModifiedBy>
  <cp:revision>5</cp:revision>
  <cp:lastPrinted>2021-03-24T07:42:00Z</cp:lastPrinted>
  <dcterms:created xsi:type="dcterms:W3CDTF">2021-04-21T07:24:00Z</dcterms:created>
  <dcterms:modified xsi:type="dcterms:W3CDTF">2021-06-14T20:29:00Z</dcterms:modified>
</cp:coreProperties>
</file>