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after="60" w:before="60"/><w:jc w:val="center"/></w:pPr><w:r><w:drawing><wp:inline distT="0" distB="0" distL="0" distR="0"><wp:extent cx="3238500" cy="1981200"/><wp:effectExtent t="0" r="0" b="0" l="0"/><wp:docPr id="1" name="" descr="" title=""/><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 descr=""/><pic:cNvPicPr><a:picLocks noChangeAspect="1" noChangeArrowheads="1"/></pic:cNvPicPr></pic:nvPicPr><pic:blipFill><a:blip r:embed="rId7" cstate="none"/><a:srcRect/><a:stretch><a:fillRect/></a:stretch></pic:blipFill><pic:spPr bwMode="auto"><a:xfrm><a:off x="0" y="0"/><a:ext cx="3238500" cy="1981200"/></a:xfrm><a:prstGeom prst="rect"><a:avLst/></a:prstGeom></pic:spPr></pic:pic></a:graphicData></a:graphic></wp:inline></w:drawing></w:r></w:p><w:p><w:pPr><w:pBdr><w:bottom w:val="single" w:color="C0272D" w:sz="6" w:space="1"/></w:pBdr><w:spacing w:after="80" w:before="80"/></w:pPr><w:r><w:t xml:space="preserve"></w:t></w:r></w:p><w:p><w:pPr><w:spacing w:after="0" w:before="40"/></w:pPr><w:r><w:t xml:space="preserve"></w:t></w:r></w:p><w:p><w:pPr><w:spacing w:after="40" w:before="0"/><w:jc w:val="center"/></w:pPr><w:r><w:rPr><w:rFonts w:ascii="Arial" w:cs="Arial" w:eastAsia="Arial" w:hAnsi="Arial"/><w:b/><w:bCs/><w:color w:val="1B2F5E"/><w:sz w:val="30"/><w:szCs w:val="30"/></w:rPr><w:t xml:space="preserve">Medical Courier &amp; Healthcare Logistics</w:t></w:r></w:p><w:p><w:pPr><w:spacing w:after="60" w:before="0"/><w:jc w:val="center"/></w:pPr><w:r><w:rPr><w:rFonts w:ascii="Arial" w:cs="Arial" w:eastAsia="Arial" w:hAnsi="Arial"/><w:color w:val="555555"/><w:sz w:val="22"/><w:szCs w:val="22"/></w:rPr><w:t xml:space="preserve">Serving Atlanta, GA &amp; Metro Area  |  HIPAA Compliant  |  BAA Available  |  7 Days a Week</w:t></w:r></w:p><w:p><w:pPr><w:pBdr><w:bottom w:val="single" w:color="1B2F5E" w:sz="6" w:space="1"/></w:pBdr><w:spacing w:after="80" w:before="80"/></w:pPr><w:r><w:t xml:space="preserve"></w:t></w:r></w:p><w:p><w:pPr><w:spacing w:after="0" w:before="40"/></w:pPr><w:r><w:t xml:space="preserve"></w:t></w:r></w:p><w:p><w:pPr><w:spacing w:after="60" w:before="0"/><w:jc w:val="center"/></w:pPr><w:r><w:rPr><w:rFonts w:ascii="Arial" w:cs="Arial" w:eastAsia="Arial" w:hAnsi="Arial"/><w:b/><w:bCs/><w:color w:val="1B2F5E"/><w:sz w:val="28"/><w:szCs w:val="28"/></w:rPr><w:t xml:space="preserve">WHO WE ARE</w:t></w:r></w:p><w:p><w:pPr><w:spacing w:after="60" w:before="0"/><w:jc w:val="center"/></w:pPr><w:r><w:rPr><w:rFonts w:ascii="Arial" w:cs="Arial" w:eastAsia="Arial" w:hAnsi="Arial"/><w:color w:val="333333"/><w:sz w:val="22"/><w:szCs w:val="22"/></w:rPr><w:t xml:space="preserve">OMC Logistics is an Atlanta-based medical courier company specializing in the timely, compliant, and reliable transport of medical specimens, pharmaceuticals, and sensitive healthcare documents. We serve hospitals, independent laboratories, physician practices, pharmacies, and specialty clinics throughout the greater Atlanta metropolitan area. All couriers are HIPAA-trained, background-checked, and fully insured.</w:t></w:r></w:p><w:p><w:pPr><w:pBdr><w:bottom w:val="single" w:color="1B2F5E" w:sz="6" w:space="1"/></w:pBdr><w:spacing w:after="80" w:before="80"/></w:pPr><w:r><w:t xml:space="preserve"></w:t></w:r></w:p><w:p><w:pPr><w:pBdr><w:bottom w:val="single" w:color="DDDDDD" w:sz="3" w:space="1"/></w:pBdr><w:spacing w:after="80" w:before="200"/></w:pPr><w:r><w:rPr><w:rFonts w:ascii="Arial" w:cs="Arial" w:eastAsia="Arial" w:hAnsi="Arial"/><w:b/><w:bCs/><w:color w:val="1B2F5E"/><w:sz w:val="26"/><w:szCs w:val="26"/></w:rPr><w:t xml:space="preserve">WHAT WE DELIVER</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none" w:color="FFFFFF" w:sz="0"/><w:left w:val="none" w:color="FFFFFF" w:sz="0"/><w:bottom w:val="none" w:color="FFFFFF" w:sz="0"/><w:right w:val="none" w:color="FFFFFF" w:sz="0"/></w:tcBorders><w:tcMar><w:top w:type="dxa" w:w="60"/><w:left w:type="dxa" w:w="0"/><w:bottom w:type="dxa" w:w="60"/><w:right w:type="dxa" w:w="240"/></w:tcMar></w:tcPr><w:p><w:pPr><w:spacing w:after="30" w:before="0"/></w:pPr><w:r><w:rPr><w:rFonts w:ascii="Arial" w:cs="Arial" w:eastAsia="Arial" w:hAnsi="Arial"/><w:b/><w:bCs/><w:color w:val="1B2F5E"/><w:sz w:val="22"/><w:szCs w:val="22"/></w:rPr><w:t xml:space="preserve">Medical Specimens &amp; Lab Samples</w:t></w:r></w:p><w:p><w:pPr><w:spacing w:after="70" w:before="0"/></w:pPr><w:r><w:rPr><w:rFonts w:ascii="Arial" w:cs="Arial" w:eastAsia="Arial" w:hAnsi="Arial"/><w:color w:val="555555"/><w:sz w:val="21"/><w:szCs w:val="21"/></w:rPr><w:t xml:space="preserve">Blood draws, urine, biopsies, cultures, pathology, genetic testing — with temperature control and chain of custody at every step.</w:t></w:r></w:p><w:p><w:pPr><w:spacing w:after="30" w:before="0"/></w:pPr><w:r><w:rPr><w:rFonts w:ascii="Arial" w:cs="Arial" w:eastAsia="Arial" w:hAnsi="Arial"/><w:b/><w:bCs/><w:color w:val="1B2F5E"/><w:sz w:val="22"/><w:szCs w:val="22"/></w:rPr><w:t xml:space="preserve">Pharmaceuticals &amp; Prescriptions</w:t></w:r></w:p><w:p><w:pPr><w:spacing w:after="70" w:before="0"/></w:pPr><w:r><w:rPr><w:rFonts w:ascii="Arial" w:cs="Arial" w:eastAsia="Arial" w:hAnsi="Arial"/><w:color w:val="555555"/><w:sz w:val="21"/><w:szCs w:val="21"/></w:rPr><w:t xml:space="preserve">Prescription drugs, specialty medications, cold-chain pharmaceuticals with verified delivery confirmation.</w:t></w:r></w:p><w:p><w:pPr><w:spacing w:after="30" w:before="0"/></w:pPr><w:r><w:rPr><w:rFonts w:ascii="Arial" w:cs="Arial" w:eastAsia="Arial" w:hAnsi="Arial"/><w:b/><w:bCs/><w:color w:val="1B2F5E"/><w:sz w:val="22"/><w:szCs w:val="22"/></w:rPr><w:t xml:space="preserve">Medical Records &amp; Documents</w:t></w:r></w:p><w:p><w:pPr><w:spacing w:after="0" w:before="0"/></w:pPr><w:r><w:rPr><w:rFonts w:ascii="Arial" w:cs="Arial" w:eastAsia="Arial" w:hAnsi="Arial"/><w:color w:val="555555"/><w:sz w:val="21"/><w:szCs w:val="21"/></w:rPr><w:t xml:space="preserve">Patient records, lab reports, prior authorizations, insurance forms — handled with full HIPAA compliance.</w:t></w:r></w:p></w:tc><w:tc><w:tcPr><w:tcW w:type="dxa" w:w="4680"/><w:tcBorders><w:top w:val="none" w:color="FFFFFF" w:sz="0"/><w:left w:val="none" w:color="FFFFFF" w:sz="0"/><w:bottom w:val="none" w:color="FFFFFF" w:sz="0"/><w:right w:val="none" w:color="FFFFFF" w:sz="0"/></w:tcBorders><w:tcMar><w:top w:type="dxa" w:w="60"/><w:left w:type="dxa" w:w="240"/><w:bottom w:type="dxa" w:w="60"/><w:right w:type="dxa" w:w="0"/></w:tcMar></w:tcPr><w:p><w:pPr><w:spacing w:after="30" w:before="0"/></w:pPr><w:r><w:rPr><w:rFonts w:ascii="Arial" w:cs="Arial" w:eastAsia="Arial" w:hAnsi="Arial"/><w:b/><w:bCs/><w:color w:val="1B2F5E"/><w:sz w:val="22"/><w:szCs w:val="22"/></w:rPr><w:t xml:space="preserve">Medical Equipment &amp; Supplies</w:t></w:r></w:p><w:p><w:pPr><w:spacing w:after="70" w:before="0"/></w:pPr><w:r><w:rPr><w:rFonts w:ascii="Arial" w:cs="Arial" w:eastAsia="Arial" w:hAnsi="Arial"/><w:color w:val="555555"/><w:sz w:val="21"/><w:szCs w:val="21"/></w:rPr><w:t xml:space="preserve">DME, infusion supplies, diagnostic tools, and facility supplies transported safely and on schedule.</w:t></w:r></w:p><w:p><w:pPr><w:spacing w:after="30" w:before="0"/></w:pPr><w:r><w:rPr><w:rFonts w:ascii="Arial" w:cs="Arial" w:eastAsia="Arial" w:hAnsi="Arial"/><w:b/><w:bCs/><w:color w:val="1B2F5E"/><w:sz w:val="22"/><w:szCs w:val="22"/></w:rPr><w:t xml:space="preserve">STAT / Urgent Deliveries</w:t></w:r></w:p><w:p><w:pPr><w:spacing w:after="70" w:before="0"/></w:pPr><w:r><w:rPr><w:rFonts w:ascii="Arial" w:cs="Arial" w:eastAsia="Arial" w:hAnsi="Arial"/><w:color w:val="555555"/><w:sz w:val="21"/><w:szCs w:val="21"/></w:rPr><w:t xml:space="preserve">Priority dispatch within 30 minutes, 2-hour turnaround guarantee, real-time tracking and delivery confirmation.</w:t></w:r></w:p><w:p><w:pPr><w:spacing w:after="30" w:before="0"/></w:pPr><w:r><w:rPr><w:rFonts w:ascii="Arial" w:cs="Arial" w:eastAsia="Arial" w:hAnsi="Arial"/><w:b/><w:bCs/><w:color w:val="1B2F5E"/><w:sz w:val="22"/><w:szCs w:val="22"/></w:rPr><w:t xml:space="preserve">Inter-Facility Transport</w:t></w:r></w:p><w:p><w:pPr><w:spacing w:after="0" w:before="0"/></w:pPr><w:r><w:rPr><w:rFonts w:ascii="Arial" w:cs="Arial" w:eastAsia="Arial" w:hAnsi="Arial"/><w:color w:val="555555"/><w:sz w:val="21"/><w:szCs w:val="21"/></w:rPr><w:t xml:space="preserve">Hospital-to-hospital, clinic-to-lab, pharmacy-to-patient with signed chain-of-custody at every handoff.</w:t></w:r></w:p></w:tc></w:tr></w:tbl><w:p><w:pPr><w:spacing w:after="0" w:before="60"/></w:pPr><w:r><w:t xml:space="preserve"></w:t></w:r></w:p><w:p><w:pPr><w:pBdr><w:bottom w:val="single" w:color="1B2F5E" w:sz="6" w:space="1"/></w:pBdr><w:spacing w:after="80" w:before="80"/></w:pPr><w:r><w:t xml:space="preserve"></w:t></w:r></w:p><w:p><w:pPr><w:pBdr><w:bottom w:val="single" w:color="DDDDDD" w:sz="3" w:space="1"/></w:pBdr><w:spacing w:after="80" w:before="200"/></w:pPr><w:r><w:rPr><w:rFonts w:ascii="Arial" w:cs="Arial" w:eastAsia="Arial" w:hAnsi="Arial"/><w:b/><w:bCs/><w:color w:val="1B2F5E"/><w:sz w:val="26"/><w:szCs w:val="26"/></w:rPr><w:t xml:space="preserve">CLIENTS WE 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872"/><w:gridCol w:w="1872"/><w:gridCol w:w="1872"/><w:gridCol w:w="1872"/><w:gridCol w:w="1872"/></w:tblGrid><w:tr><w:tc><w:tcPr><w:tcW w:type="dxa" w:w="1872"/><w:tcBorders><w:top w:val="single" w:color="CCCCCC" w:sz="1"/><w:left w:val="single" w:color="CCCCCC" w:sz="1"/><w:bottom w:val="single" w:color="CCCCCC" w:sz="1"/><w:right w:val="single" w:color="CCCCCC" w:sz="1"/></w:tcBorders><w:shd w:fill="E8EDF5" w:val="clear"/><w:tcMar><w:top w:type="dxa" w:w="120"/><w:left w:type="dxa" w:w="60"/><w:bottom w:type="dxa" w:w="120"/><w:right w:type="dxa" w:w="60"/></w:tcMar></w:tcPr><w:p><w:pPr><w:jc w:val="center"/></w:pPr><w:r><w:rPr><w:rFonts w:ascii="Arial" w:cs="Arial" w:eastAsia="Arial" w:hAnsi="Arial"/><w:b/><w:bCs/><w:color w:val="1B2F5E"/><w:sz w:val="20"/><w:szCs w:val="20"/></w:rPr><w:t xml:space="preserve">Hospitals &amp;
Health Systems</w:t></w:r></w:p></w:tc><w:tc><w:tcPr><w:tcW w:type="dxa" w:w="1872"/><w:tcBorders><w:top w:val="single" w:color="CCCCCC" w:sz="1"/><w:left w:val="single" w:color="CCCCCC" w:sz="1"/><w:bottom w:val="single" w:color="CCCCCC" w:sz="1"/><w:right w:val="single" w:color="CCCCCC" w:sz="1"/></w:tcBorders><w:shd w:fill="E8EDF5" w:val="clear"/><w:tcMar><w:top w:type="dxa" w:w="120"/><w:left w:type="dxa" w:w="60"/><w:bottom w:type="dxa" w:w="120"/><w:right w:type="dxa" w:w="60"/></w:tcMar></w:tcPr><w:p><w:pPr><w:jc w:val="center"/></w:pPr><w:r><w:rPr><w:rFonts w:ascii="Arial" w:cs="Arial" w:eastAsia="Arial" w:hAnsi="Arial"/><w:b/><w:bCs/><w:color w:val="1B2F5E"/><w:sz w:val="20"/><w:szCs w:val="20"/></w:rPr><w:t xml:space="preserve">Independent
Laboratories</w:t></w:r></w:p></w:tc><w:tc><w:tcPr><w:tcW w:type="dxa" w:w="1872"/><w:tcBorders><w:top w:val="single" w:color="CCCCCC" w:sz="1"/><w:left w:val="single" w:color="CCCCCC" w:sz="1"/><w:bottom w:val="single" w:color="CCCCCC" w:sz="1"/><w:right w:val="single" w:color="CCCCCC" w:sz="1"/></w:tcBorders><w:shd w:fill="E8EDF5" w:val="clear"/><w:tcMar><w:top w:type="dxa" w:w="120"/><w:left w:type="dxa" w:w="60"/><w:bottom w:type="dxa" w:w="120"/><w:right w:type="dxa" w:w="60"/></w:tcMar></w:tcPr><w:p><w:pPr><w:jc w:val="center"/></w:pPr><w:r><w:rPr><w:rFonts w:ascii="Arial" w:cs="Arial" w:eastAsia="Arial" w:hAnsi="Arial"/><w:b/><w:bCs/><w:color w:val="1B2F5E"/><w:sz w:val="20"/><w:szCs w:val="20"/></w:rPr><w:t xml:space="preserve">Physician
Practices</w:t></w:r></w:p></w:tc><w:tc><w:tcPr><w:tcW w:type="dxa" w:w="1872"/><w:tcBorders><w:top w:val="single" w:color="CCCCCC" w:sz="1"/><w:left w:val="single" w:color="CCCCCC" w:sz="1"/><w:bottom w:val="single" w:color="CCCCCC" w:sz="1"/><w:right w:val="single" w:color="CCCCCC" w:sz="1"/></w:tcBorders><w:shd w:fill="E8EDF5" w:val="clear"/><w:tcMar><w:top w:type="dxa" w:w="120"/><w:left w:type="dxa" w:w="60"/><w:bottom w:type="dxa" w:w="120"/><w:right w:type="dxa" w:w="60"/></w:tcMar></w:tcPr><w:p><w:pPr><w:jc w:val="center"/></w:pPr><w:r><w:rPr><w:rFonts w:ascii="Arial" w:cs="Arial" w:eastAsia="Arial" w:hAnsi="Arial"/><w:b/><w:bCs/><w:color w:val="1B2F5E"/><w:sz w:val="20"/><w:szCs w:val="20"/></w:rPr><w:t xml:space="preserve">Retail &amp;
Specialty Pharmacies</w:t></w:r></w:p></w:tc><w:tc><w:tcPr><w:tcW w:type="dxa" w:w="1872"/><w:tcBorders><w:top w:val="single" w:color="CCCCCC" w:sz="1"/><w:left w:val="single" w:color="CCCCCC" w:sz="1"/><w:bottom w:val="single" w:color="CCCCCC" w:sz="1"/><w:right w:val="single" w:color="CCCCCC" w:sz="1"/></w:tcBorders><w:shd w:fill="E8EDF5" w:val="clear"/><w:tcMar><w:top w:type="dxa" w:w="120"/><w:left w:type="dxa" w:w="60"/><w:bottom w:type="dxa" w:w="120"/><w:right w:type="dxa" w:w="60"/></w:tcMar></w:tcPr><w:p><w:pPr><w:jc w:val="center"/></w:pPr><w:r><w:rPr><w:rFonts w:ascii="Arial" w:cs="Arial" w:eastAsia="Arial" w:hAnsi="Arial"/><w:b/><w:bCs/><w:color w:val="1B2F5E"/><w:sz w:val="20"/><w:szCs w:val="20"/></w:rPr><w:t xml:space="preserve">Urgent Care
&amp; Clinics</w:t></w:r></w:p></w:tc></w:tr></w:tbl><w:p><w:pPr><w:spacing w:after="0" w:before="60"/></w:pPr><w:r><w:t xml:space="preserve"></w:t></w:r></w:p><w:p><w:pPr><w:pBdr><w:bottom w:val="single" w:color="1B2F5E" w:sz="6" w:space="1"/></w:pBdr><w:spacing w:after="80" w:before="80"/></w:pPr><w:r><w:t xml:space="preserve"></w:t></w:r></w:p><w:p><w:pPr><w:pBdr><w:bottom w:val="single" w:color="DDDDDD" w:sz="3" w:space="1"/></w:pBdr><w:spacing w:after="80" w:before="200"/></w:pPr><w:r><w:rPr><w:rFonts w:ascii="Arial" w:cs="Arial" w:eastAsia="Arial" w:hAnsi="Arial"/><w:b/><w:bCs/><w:color w:val="1B2F5E"/><w:sz w:val="26"/><w:szCs w:val="26"/></w:rPr><w:t xml:space="preserve">COMPLIANCE &amp; CREDENTIALS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none" w:color="FFFFFF" w:sz="0"/><w:left w:val="none" w:color="FFFFFF" w:sz="0"/><w:bottom w:val="none" w:color="FFFFFF" w:sz="0"/><w:right w:val="none" w:color="FFFFFF" w:sz="0"/></w:tcBorders><w:tcMar><w:top w:type="dxa" w:w="60"/><w:left w:type="dxa" w:w="0"/><w:bottom w:type="dxa" w:w="60"/><w:right w:type="dxa" w:w="200"/></w:tcMar></w:tcPr><w:p><w:pPr><w:spacing w:after="30" w:before="0"/></w:pPr><w:r><w:rPr><w:rFonts w:ascii="Arial" w:cs="Arial" w:eastAsia="Arial" w:hAnsi="Arial"/><w:b/><w:bCs/><w:color w:val="1B2F5E"/><w:sz w:val="22"/><w:szCs w:val="22"/></w:rPr><w:t xml:space="preserve">HIPAA COMPLIANCE &amp; BAA</w:t></w:r></w:p><w:p><w:pPr><w:spacing w:after="70" w:before="0"/></w:pPr><w:r><w:rPr><w:rFonts w:ascii="Arial" w:cs="Arial" w:eastAsia="Arial" w:hAnsi="Arial"/><w:color w:val="555555"/><w:sz w:val="21"/><w:szCs w:val="21"/></w:rPr><w:t xml:space="preserve">All couriers complete HIPAA training before their first route. Business Associate Agreements (BAA) available for facilities that require them.</w:t></w:r></w:p><w:p><w:pPr><w:spacing w:after="30" w:before="0"/></w:pPr><w:r><w:rPr><w:rFonts w:ascii="Arial" w:cs="Arial" w:eastAsia="Arial" w:hAnsi="Arial"/><w:b/><w:bCs/><w:color w:val="1B2F5E"/><w:sz w:val="22"/><w:szCs w:val="22"/></w:rPr><w:t xml:space="preserve">BACKGROUND SCREENING</w:t></w:r></w:p><w:p><w:pPr><w:spacing w:after="70" w:before="0"/></w:pPr><w:r><w:rPr><w:rFonts w:ascii="Arial" w:cs="Arial" w:eastAsia="Arial" w:hAnsi="Arial"/><w:color w:val="555555"/><w:sz w:val="21"/><w:szCs w:val="21"/></w:rPr><w:t xml:space="preserve">Third-party criminal background check and MVR required for every contractor. Clean record required: no DUI in 5 years, max 1 moving violation in 3 years.</w:t></w:r></w:p><w:p><w:pPr><w:spacing w:after="30" w:before="0"/></w:pPr><w:r><w:rPr><w:rFonts w:ascii="Arial" w:cs="Arial" w:eastAsia="Arial" w:hAnsi="Arial"/><w:b/><w:bCs/><w:color w:val="1B2F5E"/><w:sz w:val="22"/><w:szCs w:val="22"/></w:rPr><w:t xml:space="preserve">BLOODBORNE PATHOGEN TRAINING</w:t></w:r></w:p><w:p><w:pPr><w:spacing w:after="0" w:before="0"/></w:pPr><w:r><w:rPr><w:rFonts w:ascii="Arial" w:cs="Arial" w:eastAsia="Arial" w:hAnsi="Arial"/><w:color w:val="555555"/><w:sz w:val="21"/><w:szCs w:val="21"/></w:rPr><w:t xml:space="preserve">All drivers transporting biological specimens complete OSHA Bloodborne Pathogen Awareness training and follow standard precaution protocols.</w:t></w:r></w:p></w:tc><w:tc><w:tcPr><w:tcW w:type="dxa" w:w="4680"/><w:tcBorders><w:top w:val="none" w:color="FFFFFF" w:sz="0"/><w:left w:val="none" w:color="FFFFFF" w:sz="0"/><w:bottom w:val="none" w:color="FFFFFF" w:sz="0"/><w:right w:val="none" w:color="FFFFFF" w:sz="0"/></w:tcBorders><w:tcMar><w:top w:type="dxa" w:w="60"/><w:left w:type="dxa" w:w="200"/><w:bottom w:type="dxa" w:w="60"/><w:right w:type="dxa" w:w="0"/></w:tcMar></w:tcPr><w:p><w:pPr><w:spacing w:after="30" w:before="0"/></w:pPr><w:r><w:rPr><w:rFonts w:ascii="Arial" w:cs="Arial" w:eastAsia="Arial" w:hAnsi="Arial"/><w:b/><w:bCs/><w:color w:val="1B2F5E"/><w:sz w:val="22"/><w:szCs w:val="22"/></w:rPr><w:t xml:space="preserve">INSURANCE — ADDITIONAL INSURED AVAILABLE</w:t></w:r></w:p><w:p><w:pPr><w:spacing w:after="70" w:before="0"/></w:pPr><w:r><w:rPr><w:rFonts w:ascii="Arial" w:cs="Arial" w:eastAsia="Arial" w:hAnsi="Arial"/><w:color w:val="555555"/><w:sz w:val="21"/><w:szCs w:val="21"/></w:rPr><w:t xml:space="preserve">Commercial General Liability ($1M/occurrence), Commercial Auto ($100K/$300K), Workers&apos; Compensation, and Professional Liability. COI on file. Clients may be listed as Additional Insured.</w:t></w:r></w:p><w:p><w:pPr><w:spacing w:after="30" w:before="0"/></w:pPr><w:r><w:rPr><w:rFonts w:ascii="Arial" w:cs="Arial" w:eastAsia="Arial" w:hAnsi="Arial"/><w:b/><w:bCs/><w:color w:val="1B2F5E"/><w:sz w:val="22"/><w:szCs w:val="22"/></w:rPr><w:t xml:space="preserve">CHAIN OF CUSTODY</w:t></w:r></w:p><w:p><w:pPr><w:spacing w:after="70" w:before="0"/></w:pPr><w:r><w:rPr><w:rFonts w:ascii="Arial" w:cs="Arial" w:eastAsia="Arial" w:hAnsi="Arial"/><w:color w:val="555555"/><w:sz w:val="21"/><w:szCs w:val="21"/></w:rPr><w:t xml:space="preserve">Signed pickup manifests at origin. Real-time electronic delivery confirmation at every stop. Full chain-of-custody documentation for every item.</w:t></w:r></w:p><w:p><w:pPr><w:spacing w:after="30" w:before="0"/></w:pPr><w:r><w:rPr><w:rFonts w:ascii="Arial" w:cs="Arial" w:eastAsia="Arial" w:hAnsi="Arial"/><w:b/><w:bCs/><w:color w:val="1B2F5E"/><w:sz w:val="22"/><w:szCs w:val="22"/></w:rPr><w:t xml:space="preserve">TEMPERATURE-CONTROLLED TRANSPORT</w:t></w:r></w:p><w:p><w:pPr><w:spacing w:after="0" w:before="0"/></w:pPr><w:r><w:rPr><w:rFonts w:ascii="Arial" w:cs="Arial" w:eastAsia="Arial" w:hAnsi="Arial"/><w:color w:val="555555"/><w:sz w:val="21"/><w:szCs w:val="21"/></w:rPr><w:t xml:space="preserve">Refrigerated, frozen, and room-temperature specimen transport. Couriers trained on cooler protocols, ice pack procedures, and temperature excursion reporting.</w:t></w:r></w:p></w:tc></w:tr></w:tbl><w:p><w:pPr><w:spacing w:after="0" w:before="60"/></w:pPr><w:r><w:t xml:space="preserve"></w:t></w:r></w:p><w:p><w:pPr><w:pBdr><w:bottom w:val="single" w:color="1B2F5E" w:sz="6" w:space="1"/></w:pBdr><w:spacing w:after="80" w:before="80"/></w:pPr><w:r><w:t xml:space="preserve"></w:t></w:r></w:p><w:p><w:pPr><w:pBdr><w:bottom w:val="single" w:color="DDDDDD" w:sz="3" w:space="1"/></w:pBdr><w:spacing w:after="80" w:before="200"/></w:pPr><w:r><w:rPr><w:rFonts w:ascii="Arial" w:cs="Arial" w:eastAsia="Arial" w:hAnsi="Arial"/><w:b/><w:bCs/><w:color w:val="1B2F5E"/><w:sz w:val="26"/><w:szCs w:val="26"/></w:rPr><w:t xml:space="preserve">PERFORMANCE STANDARDS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2340"/><w:gridCol w:w="2340"/><w:gridCol w:w="2340"/><w:gridCol w:w="2340"/></w:tblGrid><w:tr><0/></w:tr></w:tbl><w:p><w:pPr><w:spacing w:after="0" w:before="60"/></w:pPr><w:r><w:t xml:space="preserve"></w:t></w:r></w:p><w:p><w:pPr><w:pBdr><w:bottom w:val="single" w:color="1B2F5E" w:sz="6" w:space="1"/></w:pBdr><w:spacing w:after="80" w:before="80"/></w:pPr><w:r><w:t xml:space="preserve"></w:t></w:r></w:p><w:p><w:pPr><w:pBdr><w:bottom w:val="single" w:color="DDDDDD" w:sz="3" w:space="1"/></w:pBdr><w:spacing w:after="80" w:before="200"/></w:pPr><w:r><w:rPr><w:rFonts w:ascii="Arial" w:cs="Arial" w:eastAsia="Arial" w:hAnsi="Arial"/><w:b/><w:bCs/><w:color w:val="1B2F5E"/><w:sz w:val="26"/><w:szCs w:val="26"/></w:rPr><w:t xml:space="preserve">WHAT EVERY CLIENT RECEIVES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none" w:color="FFFFFF" w:sz="0"/><w:left w:val="none" w:color="FFFFFF" w:sz="0"/><w:bottom w:val="none" w:color="FFFFFF" w:sz="0"/><w:right w:val="none" w:color="FFFFFF" w:sz="0"/></w:tcBorders><w:tcMar><w:top w:type="dxa" w:w="60"/><w:left w:type="dxa" w:w="0"/><w:bottom w:type="dxa" w:w="60"/><w:right w:type="dxa" w:w="200"/></w:tcMar></w:tcPr><w:p><w:pPr><w:pStyle w:val="ListParagraph"/><w:numPr><w:ilvl w:val="0"/><w:numId w:val="2"/></w:numPr></w:pPr><w:r><w:rPr><w:rFonts w:ascii="Arial" w:cs="Arial" w:eastAsia="Arial" w:hAnsi="Arial"/><w:color w:val="1B2F5E"/><w:sz w:val="22"/><w:szCs w:val="22"/></w:rPr><w:t xml:space="preserve">Signed Client Service Agreement</w:t></w:r></w:p><w:p><w:pPr><w:pStyle w:val="ListParagraph"/><w:numPr><w:ilvl w:val="0"/><w:numId w:val="2"/></w:numPr></w:pPr><w:r><w:rPr><w:rFonts w:ascii="Arial" w:cs="Arial" w:eastAsia="Arial" w:hAnsi="Arial"/><w:color w:val="1B2F5E"/><w:sz w:val="22"/><w:szCs w:val="22"/></w:rPr><w:t xml:space="preserve">Business Associate Agreement (BAA) if required</w:t></w:r></w:p><w:p><w:pPr><w:pStyle w:val="ListParagraph"/><w:numPr><w:ilvl w:val="0"/><w:numId w:val="2"/></w:numPr></w:pPr><w:r><w:rPr><w:rFonts w:ascii="Arial" w:cs="Arial" w:eastAsia="Arial" w:hAnsi="Arial"/><w:color w:val="1B2F5E"/><w:sz w:val="22"/><w:szCs w:val="22"/></w:rPr><w:t xml:space="preserve">Certificate of Insurance on file</w:t></w:r></w:p><w:p><w:pPr><w:pStyle w:val="ListParagraph"/><w:numPr><w:ilvl w:val="0"/><w:numId w:val="2"/></w:numPr></w:pPr><w:r><w:rPr><w:rFonts w:ascii="Arial" w:cs="Arial" w:eastAsia="Arial" w:hAnsi="Arial"/><w:color w:val="1B2F5E"/><w:sz w:val="22"/><w:szCs w:val="22"/></w:rPr><w:t xml:space="preserve">Option to be listed as Additional Insured</w:t></w:r></w:p><w:p><w:pPr><w:pStyle w:val="ListParagraph"/><w:numPr><w:ilvl w:val="0"/><w:numId w:val="2"/></w:numPr></w:pPr><w:r><w:rPr><w:rFonts w:ascii="Arial" w:cs="Arial" w:eastAsia="Arial" w:hAnsi="Arial"/><w:color w:val="1B2F5E"/><w:sz w:val="22"/><w:szCs w:val="22"/></w:rPr><w:t xml:space="preserve">Chain-of-custody documentation for every run</w:t></w:r></w:p></w:tc><w:tc><w:tcPr><w:tcW w:type="dxa" w:w="4680"/><w:tcBorders><w:top w:val="none" w:color="FFFFFF" w:sz="0"/><w:left w:val="none" w:color="FFFFFF" w:sz="0"/><w:bottom w:val="none" w:color="FFFFFF" w:sz="0"/><w:right w:val="none" w:color="FFFFFF" w:sz="0"/></w:tcBorders><w:tcMar><w:top w:type="dxa" w:w="60"/><w:left w:type="dxa" w:w="200"/><w:bottom w:type="dxa" w:w="60"/><w:right w:type="dxa" w:w="0"/></w:tcMar></w:tcPr><w:p><w:pPr><w:pStyle w:val="ListParagraph"/><w:numPr><w:ilvl w:val="0"/><w:numId w:val="2"/></w:numPr></w:pPr><w:r><w:rPr><w:rFonts w:ascii="Arial" w:cs="Arial" w:eastAsia="Arial" w:hAnsi="Arial"/><w:color w:val="1B2F5E"/><w:sz w:val="22"/><w:szCs w:val="22"/></w:rPr><w:t xml:space="preserve">Electronic delivery confirmation at every stop</w:t></w:r></w:p><w:p><w:pPr><w:pStyle w:val="ListParagraph"/><w:numPr><w:ilvl w:val="0"/><w:numId w:val="2"/></w:numPr></w:pPr><w:r><w:rPr><w:rFonts w:ascii="Arial" w:cs="Arial" w:eastAsia="Arial" w:hAnsi="Arial"/><w:color w:val="1B2F5E"/><w:sz w:val="22"/><w:szCs w:val="22"/></w:rPr><w:t xml:space="preserve">HIPAA-trained, badged, background-checked couriers</w:t></w:r></w:p><w:p><w:pPr><w:pStyle w:val="ListParagraph"/><w:numPr><w:ilvl w:val="0"/><w:numId w:val="2"/></w:numPr></w:pPr><w:r><w:rPr><w:rFonts w:ascii="Arial" w:cs="Arial" w:eastAsia="Arial" w:hAnsi="Arial"/><w:color w:val="1B2F5E"/><w:sz w:val="22"/><w:szCs w:val="22"/></w:rPr><w:t xml:space="preserve">Dedicated dispatch contact for STAT needs</w:t></w:r></w:p><w:p><w:pPr><w:pStyle w:val="ListParagraph"/><w:numPr><w:ilvl w:val="0"/><w:numId w:val="2"/></w:numPr></w:pPr><w:r><w:rPr><w:rFonts w:ascii="Arial" w:cs="Arial" w:eastAsia="Arial" w:hAnsi="Arial"/><w:color w:val="1B2F5E"/><w:sz w:val="22"/><w:szCs w:val="22"/></w:rPr><w:t xml:space="preserve">Flexible billing: weekly, bi-weekly, or monthly</w:t></w:r></w:p><w:p><w:pPr><w:pStyle w:val="ListParagraph"/><w:numPr><w:ilvl w:val="0"/><w:numId w:val="2"/></w:numPr></w:pPr><w:r><w:rPr><w:rFonts w:ascii="Arial" w:cs="Arial" w:eastAsia="Arial" w:hAnsi="Arial"/><w:color w:val="1B2F5E"/><w:sz w:val="22"/><w:szCs w:val="22"/></w:rPr><w:t xml:space="preserve">Custom route schedules built around your facility</w:t></w:r></w:p></w:tc></w:tr></w:tbl><w:p><w:pPr><w:spacing w:after="0" w:before="80"/></w:pPr><w:r><w:t xml:space="preserve"></w:t></w:r></w:p><w:p><w:pPr><w:pBdr><w:bottom w:val="single" w:color="C0272D" w:sz="6" w:space="1"/></w:pBdr><w:spacing w:after="80" w:before="80"/></w:pPr><w:r><w:t xml:space="preserve"></w:t></w:r></w:p><w:p><w:pPr><w:spacing w:after="60" w:before="80"/><w:jc w:val="center"/></w:pPr><w:r><w:rPr><w:rFonts w:ascii="Arial" w:cs="Arial" w:eastAsia="Arial" w:hAnsi="Arial"/><w:b/><w:bCs/><w:color w:val="1B2F5E"/><w:sz w:val="26"/><w:szCs w:val="26"/></w:rPr><w:t xml:space="preserve">REQUEST A FREE CONSULTATION &amp; CUSTOM QUOTE</w:t></w:r></w:p><w:p><w:pPr><w:spacing w:after="60" w:before="0"/><w:jc w:val="center"/></w:pPr><w:r><w:rPr><w:rFonts w:ascii="Arial" w:cs="Arial" w:eastAsia="Arial" w:hAnsi="Arial"/><w:color w:val="555555"/><w:sz w:val="22"/><w:szCs w:val="22"/></w:rPr><w:t xml:space="preserve">We&apos;ll assess your facility&apos;s needs and provide a written proposal within 24 hours.</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120"/><w:gridCol w:w="3120"/><w:gridCol w:w="3120"/></w:tblGrid><w:tr><w:tc><w:tcPr><w:tcW w:type="dxa" w:w="3120"/><w:tcBorders><w:top w:val="none" w:color="FFFFFF" w:sz="0"/><w:left w:val="none" w:color="FFFFFF" w:sz="0"/><w:bottom w:val="none" w:color="FFFFFF" w:sz="0"/><w:right w:val="none" w:color="FFFFFF" w:sz="0"/></w:tcBorders><w:tcMar><w:top w:type="dxa" w:w="60"/><w:left w:type="dxa" w:w="0"/><w:bottom w:type="dxa" w:w="60"/><w:right w:type="dxa" w:w="60"/></w:tcMar></w:tcPr><w:p><w:pPr><w:jc w:val="center"/></w:pPr><w:r><w:rPr><w:rFonts w:ascii="Arial" w:cs="Arial" w:eastAsia="Arial" w:hAnsi="Arial"/><w:b/><w:bCs/><w:color w:val="1B2F5E"/><w:sz w:val="22"/><w:szCs w:val="22"/></w:rPr><w:t xml:space="preserve">Phone
(___) ___-____</w:t></w:r></w:p></w:tc><w:tc><w:tcPr><w:tcW w:type="dxa" w:w="3120"/><w:tcBorders><w:top w:val="none" w:color="FFFFFF" w:sz="0"/><w:left w:val="none" w:color="FFFFFF" w:sz="0"/><w:bottom w:val="none" w:color="FFFFFF" w:sz="0"/><w:right w:val="none" w:color="FFFFFF" w:sz="0"/></w:tcBorders><w:tcMar><w:top w:type="dxa" w:w="60"/><w:left w:type="dxa" w:w="60"/><w:bottom w:type="dxa" w:w="60"/><w:right w:type="dxa" w:w="60"/></w:tcMar></w:tcPr><w:p><w:pPr><w:jc w:val="center"/></w:pPr><w:r><w:rPr><w:rFonts w:ascii="Arial" w:cs="Arial" w:eastAsia="Arial" w:hAnsi="Arial"/><w:b/><w:bCs/><w:color w:val="C0272D"/><w:sz w:val="22"/><w:szCs w:val="22"/></w:rPr><w:t xml:space="preserve">Email
info@omclogistics.com</w:t></w:r></w:p></w:tc><w:tc><w:tcPr><w:tcW w:type="dxa" w:w="3120"/><w:tcBorders><w:top w:val="none" w:color="FFFFFF" w:sz="0"/><w:left w:val="none" w:color="FFFFFF" w:sz="0"/><w:bottom w:val="none" w:color="FFFFFF" w:sz="0"/><w:right w:val="none" w:color="FFFFFF" w:sz="0"/></w:tcBorders><w:tcMar><w:top w:type="dxa" w:w="60"/><w:left w:type="dxa" w:w="60"/><w:bottom w:type="dxa" w:w="60"/><w:right w:type="dxa" w:w="0"/></w:tcMar></w:tcPr><w:p><w:pPr><w:jc w:val="center"/></w:pPr><w:r><w:rPr><w:rFonts w:ascii="Arial" w:cs="Arial" w:eastAsia="Arial" w:hAnsi="Arial"/><w:b/><w:bCs/><w:color w:val="1B2F5E"/><w:sz w:val="22"/><w:szCs w:val="22"/></w:rPr><w:t xml:space="preserve">Website
www.omclogistics.com</w:t></w:r></w:p></w:tc></w:tr></w:tbl><w:p><w:pPr><w:spacing w:after="0" w:before="40"/></w:pPr><w:r><w:t xml:space="preserve"></w:t></w:r></w:p><w:p><w:pPr><w:jc w:val="center"/></w:pPr><w:r><w:rPr><w:rFonts w:ascii="Arial" w:cs="Arial" w:eastAsia="Arial" w:hAnsi="Arial"/><w:color w:val="888888"/><w:sz w:val="18"/><w:szCs w:val="18"/></w:rPr><w:t xml:space="preserve">Georgia Registered  |  Fully Insured  |  HIPAA Compliant  |  BAA Available  |  Atlanta Metro Area</w:t></w:r></w:p><w:sectPr><w:pgSz w:w="12240" w:h="15840" w:orient="portrait"/><w:pgMar w:top="1080" w:right="1440" w:bottom="108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0" w:before="50"/>
        <w:ind w:left="720" w:hanging="360"/>
      </w:pPr>
    </w:lvl>
  </w:abstractNum>
  <w:abstractNum w:abstractNumId="3" w15:restartNumberingAfterBreak="0">
    <w:multiLevelType w:val="hybridMultilevel"/>
    <w:lvl w:ilvl="0" w15:tentative="1">
      <w:start w:val="1"/>
      <w:numFmt w:val="decimal"/>
      <w:lvlText w:val="%1."/>
      <w:lvlJc w:val="left"/>
      <w:pPr>
        <w:spacing w:after="50" w:before="50"/>
        <w:ind w:left="720" w:hanging="360"/>
      </w:pPr>
    </w:lvl>
  </w:abstractNum>
  <w:abstractNum w:abstractNumId="4" w15:restartNumberingAfterBreak="0">
    <w:multiLevelType w:val="hybridMultilevel"/>
    <w:lvl w:ilvl="0" w15:tentative="1">
      <w:start w:val="1"/>
      <w:numFmt w:val="bullet"/>
      <w:lvlText w:val="✓"/>
      <w:lvlJc w:val="left"/>
      <w:pPr>
        <w:spacing w:after="50" w:before="50"/>
        <w:ind w:left="720" w:hanging="360"/>
      </w:pPr>
    </w:lvl>
  </w:abstractNum>
  <w:abstractNum w:abstractNumId="5" w15:restartNumberingAfterBreak="0">
    <w:multiLevelType w:val="hybridMultilevel"/>
    <w:lvl w:ilvl="0" w15:tentative="1">
      <w:start w:val="1"/>
      <w:numFmt w:val="bullet"/>
      <w:lvlText w:val="✗"/>
      <w:lvlJc w:val="left"/>
      <w:pPr>
        <w:spacing w:after="50" w:before="50"/>
        <w:ind w:left="72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1d2e2d560b072b0fd76ade9f030bdf5639a16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2026-06-13T19:26:54.169Z</dcterms:created>
  <dcterms:modified xsi:type="dcterms:W3CDTF">2026-06-13T19:26:54.169Z</dcterms:modified>
</cp:coreProperties>
</file>

<file path=docProps/custom.xml><?xml version="1.0" encoding="utf-8"?>
<Properties xmlns="http://schemas.openxmlformats.org/officeDocument/2006/custom-properties" xmlns:vt="http://schemas.openxmlformats.org/officeDocument/2006/docPropsVTypes"/>
</file>