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BD9321" w14:textId="77777777" w:rsidR="0027204D" w:rsidRDefault="0027204D" w:rsidP="00BE66AC">
      <w:pPr>
        <w:jc w:val="center"/>
        <w:rPr>
          <w:b/>
          <w:bCs/>
          <w:sz w:val="40"/>
          <w:szCs w:val="40"/>
        </w:rPr>
      </w:pPr>
    </w:p>
    <w:p w14:paraId="2454ADF8" w14:textId="1B3E43D9" w:rsidR="00280C02" w:rsidRDefault="0027204D" w:rsidP="00BE66AC">
      <w:pPr>
        <w:jc w:val="center"/>
        <w:rPr>
          <w:b/>
          <w:bCs/>
          <w:sz w:val="40"/>
          <w:szCs w:val="40"/>
        </w:rPr>
      </w:pPr>
      <w:r w:rsidRPr="0027204D">
        <w:rPr>
          <w:b/>
          <w:bCs/>
          <w:noProof/>
          <w:sz w:val="40"/>
          <w:szCs w:val="40"/>
        </w:rPr>
        <w:drawing>
          <wp:inline distT="0" distB="0" distL="0" distR="0" wp14:anchorId="7D7DEC45" wp14:editId="554AE556">
            <wp:extent cx="4993660" cy="2311400"/>
            <wp:effectExtent l="0" t="0" r="0" b="0"/>
            <wp:docPr id="511123023" name="Picture 1"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23023" name="Picture 1" descr="A logo for a university&#10;&#10;Description automatically generated"/>
                    <pic:cNvPicPr/>
                  </pic:nvPicPr>
                  <pic:blipFill>
                    <a:blip r:embed="rId7"/>
                    <a:stretch>
                      <a:fillRect/>
                    </a:stretch>
                  </pic:blipFill>
                  <pic:spPr>
                    <a:xfrm>
                      <a:off x="0" y="0"/>
                      <a:ext cx="5030736" cy="2328561"/>
                    </a:xfrm>
                    <a:prstGeom prst="rect">
                      <a:avLst/>
                    </a:prstGeom>
                  </pic:spPr>
                </pic:pic>
              </a:graphicData>
            </a:graphic>
          </wp:inline>
        </w:drawing>
      </w:r>
    </w:p>
    <w:p w14:paraId="7A6F7D52" w14:textId="77777777" w:rsidR="0027204D" w:rsidRDefault="0027204D" w:rsidP="0027204D">
      <w:pPr>
        <w:jc w:val="center"/>
        <w:rPr>
          <w:b/>
          <w:bCs/>
          <w:sz w:val="48"/>
          <w:szCs w:val="48"/>
        </w:rPr>
      </w:pPr>
    </w:p>
    <w:p w14:paraId="3FB72E07" w14:textId="77777777" w:rsidR="00C41311" w:rsidRDefault="00C41311" w:rsidP="0027204D">
      <w:pPr>
        <w:jc w:val="center"/>
        <w:rPr>
          <w:b/>
          <w:bCs/>
          <w:sz w:val="48"/>
          <w:szCs w:val="48"/>
        </w:rPr>
      </w:pPr>
    </w:p>
    <w:p w14:paraId="41FC16F0" w14:textId="0F6C103A" w:rsidR="0027204D" w:rsidRPr="0027204D" w:rsidRDefault="0027204D" w:rsidP="0027204D">
      <w:pPr>
        <w:jc w:val="center"/>
        <w:rPr>
          <w:b/>
          <w:bCs/>
          <w:sz w:val="48"/>
          <w:szCs w:val="48"/>
        </w:rPr>
      </w:pPr>
      <w:r w:rsidRPr="0027204D">
        <w:rPr>
          <w:b/>
          <w:bCs/>
          <w:sz w:val="48"/>
          <w:szCs w:val="48"/>
        </w:rPr>
        <w:t xml:space="preserve">Analysing Seismic Data with Multidimensional Scaling: Towards Earthquake Prediction – A Visual Approach </w:t>
      </w:r>
    </w:p>
    <w:p w14:paraId="4B1D66C3" w14:textId="77777777" w:rsidR="0027204D" w:rsidRDefault="0027204D" w:rsidP="00BE66AC">
      <w:pPr>
        <w:jc w:val="center"/>
        <w:rPr>
          <w:b/>
          <w:bCs/>
          <w:sz w:val="40"/>
          <w:szCs w:val="40"/>
        </w:rPr>
      </w:pPr>
    </w:p>
    <w:p w14:paraId="0151048F" w14:textId="5EF29DF0" w:rsidR="00280C02" w:rsidRPr="00EA1A52" w:rsidRDefault="0027204D" w:rsidP="00C41311">
      <w:pPr>
        <w:jc w:val="center"/>
        <w:rPr>
          <w:rFonts w:ascii="Bahnschrift SemiLight Condensed" w:hAnsi="Bahnschrift SemiLight Condensed" w:cs="Aharoni"/>
          <w:sz w:val="40"/>
          <w:szCs w:val="40"/>
        </w:rPr>
      </w:pPr>
      <w:r w:rsidRPr="00EA1A52">
        <w:rPr>
          <w:rFonts w:ascii="Bahnschrift SemiLight Condensed" w:hAnsi="Bahnschrift SemiLight Condensed" w:cs="Aharoni"/>
          <w:sz w:val="40"/>
          <w:szCs w:val="40"/>
        </w:rPr>
        <w:t>Adam Arany</w:t>
      </w:r>
    </w:p>
    <w:p w14:paraId="416BF8A5" w14:textId="77777777" w:rsidR="00C41311" w:rsidRPr="00C41311" w:rsidRDefault="0027204D" w:rsidP="00C41311">
      <w:pPr>
        <w:jc w:val="center"/>
        <w:rPr>
          <w:rFonts w:ascii="Bahnschrift SemiLight Condensed" w:hAnsi="Bahnschrift SemiLight Condensed" w:cs="Aharoni"/>
          <w:i/>
          <w:iCs/>
          <w:sz w:val="32"/>
          <w:szCs w:val="32"/>
        </w:rPr>
      </w:pPr>
      <w:r w:rsidRPr="00C41311">
        <w:rPr>
          <w:rFonts w:ascii="Bahnschrift SemiLight Condensed" w:hAnsi="Bahnschrift SemiLight Condensed" w:cs="Aharoni"/>
          <w:i/>
          <w:iCs/>
          <w:sz w:val="32"/>
          <w:szCs w:val="32"/>
        </w:rPr>
        <w:t>Van Mildert College</w:t>
      </w:r>
    </w:p>
    <w:p w14:paraId="00D74EB1" w14:textId="77777777" w:rsidR="00C41311" w:rsidRDefault="00C41311" w:rsidP="00C41311">
      <w:pPr>
        <w:jc w:val="center"/>
        <w:rPr>
          <w:rFonts w:ascii="Bahnschrift SemiLight Condensed" w:hAnsi="Bahnschrift SemiLight Condensed" w:cs="Aharoni"/>
          <w:sz w:val="36"/>
          <w:szCs w:val="36"/>
        </w:rPr>
      </w:pPr>
    </w:p>
    <w:p w14:paraId="0C9321BF" w14:textId="2E2C9EDD" w:rsidR="0027204D" w:rsidRPr="00C41311" w:rsidRDefault="000539BD" w:rsidP="00C41311">
      <w:pPr>
        <w:jc w:val="center"/>
        <w:rPr>
          <w:rFonts w:ascii="Bahnschrift SemiLight Condensed" w:hAnsi="Bahnschrift SemiLight Condensed" w:cs="Aharoni"/>
          <w:sz w:val="36"/>
          <w:szCs w:val="36"/>
        </w:rPr>
      </w:pPr>
      <w:r w:rsidRPr="00C41311">
        <w:rPr>
          <w:rFonts w:ascii="Bahnschrift SemiLight Condensed" w:hAnsi="Bahnschrift SemiLight Condensed" w:cs="Aharoni"/>
          <w:sz w:val="36"/>
          <w:szCs w:val="36"/>
        </w:rPr>
        <w:t>Supervisor: Professor Stefan Nielsen</w:t>
      </w:r>
    </w:p>
    <w:p w14:paraId="6577AFAE" w14:textId="03DF7232" w:rsidR="0027204D" w:rsidRPr="0027204D" w:rsidRDefault="0027204D" w:rsidP="00C41311">
      <w:pPr>
        <w:jc w:val="center"/>
        <w:rPr>
          <w:rFonts w:ascii="Bahnschrift SemiLight Condensed" w:hAnsi="Bahnschrift SemiLight Condensed" w:cs="Aharoni"/>
          <w:sz w:val="36"/>
          <w:szCs w:val="36"/>
        </w:rPr>
      </w:pPr>
      <w:r w:rsidRPr="0027204D">
        <w:rPr>
          <w:rFonts w:ascii="Bahnschrift SemiLight Condensed" w:hAnsi="Bahnschrift SemiLight Condensed" w:cs="Aharoni"/>
          <w:sz w:val="36"/>
          <w:szCs w:val="36"/>
        </w:rPr>
        <w:t>A report submitted for the degree of</w:t>
      </w:r>
    </w:p>
    <w:p w14:paraId="099B7378" w14:textId="46BC786A" w:rsidR="0027204D" w:rsidRDefault="0027204D" w:rsidP="00BE66AC">
      <w:pPr>
        <w:jc w:val="center"/>
        <w:rPr>
          <w:rFonts w:ascii="Bahnschrift SemiLight Condensed" w:hAnsi="Bahnschrift SemiLight Condensed" w:cs="Aharoni"/>
          <w:i/>
          <w:iCs/>
          <w:sz w:val="36"/>
          <w:szCs w:val="36"/>
        </w:rPr>
      </w:pPr>
      <w:r w:rsidRPr="0027204D">
        <w:rPr>
          <w:rFonts w:ascii="Bahnschrift SemiLight Condensed" w:hAnsi="Bahnschrift SemiLight Condensed" w:cs="Aharoni"/>
          <w:i/>
          <w:iCs/>
          <w:sz w:val="36"/>
          <w:szCs w:val="36"/>
        </w:rPr>
        <w:t>Master of Data Science</w:t>
      </w:r>
    </w:p>
    <w:p w14:paraId="77518505" w14:textId="77777777" w:rsidR="00C41311" w:rsidRDefault="0027204D" w:rsidP="00C41311">
      <w:pPr>
        <w:jc w:val="center"/>
        <w:rPr>
          <w:rFonts w:ascii="Bahnschrift SemiLight Condensed" w:hAnsi="Bahnschrift SemiLight Condensed" w:cs="Aharoni"/>
          <w:sz w:val="36"/>
          <w:szCs w:val="36"/>
        </w:rPr>
      </w:pPr>
      <w:r>
        <w:rPr>
          <w:rFonts w:ascii="Bahnschrift SemiLight Condensed" w:hAnsi="Bahnschrift SemiLight Condensed" w:cs="Aharoni"/>
          <w:sz w:val="36"/>
          <w:szCs w:val="36"/>
        </w:rPr>
        <w:t>September 2024</w:t>
      </w:r>
    </w:p>
    <w:p w14:paraId="5CFAD902" w14:textId="08E293EC" w:rsidR="00BE66AC" w:rsidRPr="00C41311" w:rsidRDefault="00BE66AC" w:rsidP="00C41311">
      <w:pPr>
        <w:rPr>
          <w:rFonts w:ascii="Bahnschrift SemiLight Condensed" w:hAnsi="Bahnschrift SemiLight Condensed" w:cs="Aharoni"/>
          <w:sz w:val="36"/>
          <w:szCs w:val="36"/>
        </w:rPr>
      </w:pPr>
      <w:r w:rsidRPr="00B85832">
        <w:rPr>
          <w:b/>
          <w:bCs/>
          <w:sz w:val="28"/>
          <w:szCs w:val="28"/>
        </w:rPr>
        <w:lastRenderedPageBreak/>
        <w:t>Introduction</w:t>
      </w:r>
    </w:p>
    <w:p w14:paraId="141BFF5C" w14:textId="77777777" w:rsidR="00610D59" w:rsidRDefault="00BE66AC" w:rsidP="00BE66AC">
      <w:pPr>
        <w:spacing w:line="480" w:lineRule="auto"/>
        <w:jc w:val="both"/>
        <w:rPr>
          <w:sz w:val="24"/>
          <w:szCs w:val="24"/>
        </w:rPr>
      </w:pPr>
      <w:r w:rsidRPr="00BE66AC">
        <w:rPr>
          <w:sz w:val="24"/>
          <w:szCs w:val="24"/>
        </w:rPr>
        <w:t xml:space="preserve">The distribution of seismic activity in general and earthquakes in particular is globally unequal: while people living in certain regions or countries rarely experience seismicity </w:t>
      </w:r>
      <w:r>
        <w:rPr>
          <w:sz w:val="24"/>
          <w:szCs w:val="24"/>
        </w:rPr>
        <w:t>on a scale that would affect</w:t>
      </w:r>
      <w:r w:rsidRPr="00BE66AC">
        <w:rPr>
          <w:sz w:val="24"/>
          <w:szCs w:val="24"/>
        </w:rPr>
        <w:t xml:space="preserve"> their lives, </w:t>
      </w:r>
      <w:r w:rsidR="00421F1B">
        <w:rPr>
          <w:sz w:val="24"/>
          <w:szCs w:val="24"/>
        </w:rPr>
        <w:t xml:space="preserve">those living in </w:t>
      </w:r>
      <w:r>
        <w:rPr>
          <w:sz w:val="24"/>
          <w:szCs w:val="24"/>
        </w:rPr>
        <w:t xml:space="preserve">earthquake-prone areas of the globe </w:t>
      </w:r>
      <w:r w:rsidR="002C35B8">
        <w:rPr>
          <w:sz w:val="24"/>
          <w:szCs w:val="24"/>
        </w:rPr>
        <w:t>continuously suffer</w:t>
      </w:r>
      <w:r w:rsidR="00421F1B">
        <w:rPr>
          <w:sz w:val="24"/>
          <w:szCs w:val="24"/>
        </w:rPr>
        <w:t xml:space="preserve"> damages to their homes, buildings and infrastructure along with personal injuries and tragically, loss of life. </w:t>
      </w:r>
      <w:r w:rsidR="002C35B8">
        <w:rPr>
          <w:sz w:val="24"/>
          <w:szCs w:val="24"/>
        </w:rPr>
        <w:t xml:space="preserve">The World Health Organization estimates that between 1998 and 2017, ‘earthquakes </w:t>
      </w:r>
      <w:r w:rsidR="002C35B8" w:rsidRPr="002C35B8">
        <w:rPr>
          <w:sz w:val="24"/>
          <w:szCs w:val="24"/>
        </w:rPr>
        <w:t>caused nearly 750 000 deaths globally, more than half of all deaths related to natural disasters</w:t>
      </w:r>
      <w:r w:rsidR="002C35B8">
        <w:rPr>
          <w:sz w:val="24"/>
          <w:szCs w:val="24"/>
        </w:rPr>
        <w:t>.’</w:t>
      </w:r>
      <w:r w:rsidR="006E6CB9">
        <w:rPr>
          <w:rStyle w:val="FootnoteReference"/>
          <w:sz w:val="24"/>
          <w:szCs w:val="24"/>
        </w:rPr>
        <w:footnoteReference w:id="1"/>
      </w:r>
      <w:r w:rsidR="002C35B8">
        <w:rPr>
          <w:sz w:val="24"/>
          <w:szCs w:val="24"/>
        </w:rPr>
        <w:t xml:space="preserve"> The deadliest earthquake of the 20</w:t>
      </w:r>
      <w:r w:rsidR="002C35B8" w:rsidRPr="002C35B8">
        <w:rPr>
          <w:sz w:val="24"/>
          <w:szCs w:val="24"/>
          <w:vertAlign w:val="superscript"/>
        </w:rPr>
        <w:t>th</w:t>
      </w:r>
      <w:r w:rsidR="002C35B8">
        <w:rPr>
          <w:sz w:val="24"/>
          <w:szCs w:val="24"/>
        </w:rPr>
        <w:t xml:space="preserve"> century, hitting Tangshan, China in 1976 took 242 000 lives alone, while the one in Haiti in 2010 </w:t>
      </w:r>
      <w:r w:rsidR="006E6CB9">
        <w:rPr>
          <w:sz w:val="24"/>
          <w:szCs w:val="24"/>
        </w:rPr>
        <w:t>also killed more than 220 000 people,</w:t>
      </w:r>
      <w:r w:rsidR="006E6CB9">
        <w:rPr>
          <w:rStyle w:val="FootnoteReference"/>
          <w:sz w:val="24"/>
          <w:szCs w:val="24"/>
        </w:rPr>
        <w:footnoteReference w:id="2"/>
      </w:r>
      <w:r w:rsidR="006E6CB9">
        <w:rPr>
          <w:sz w:val="24"/>
          <w:szCs w:val="24"/>
        </w:rPr>
        <w:t xml:space="preserve"> suggesting that during the 34 years between the two events, humanity’s ability to predict earthquakes did not improve sufficiently – or earthquake prediction tools and know-how has not been utilised or made accessible globally – enough to save potentially hundreds of thousands of lives. This </w:t>
      </w:r>
      <w:r w:rsidR="00610D59">
        <w:rPr>
          <w:sz w:val="24"/>
          <w:szCs w:val="24"/>
        </w:rPr>
        <w:t>report</w:t>
      </w:r>
      <w:r w:rsidR="006E6CB9">
        <w:rPr>
          <w:sz w:val="24"/>
          <w:szCs w:val="24"/>
        </w:rPr>
        <w:t xml:space="preserve"> aims to use </w:t>
      </w:r>
      <w:r w:rsidR="00B944EC">
        <w:rPr>
          <w:sz w:val="24"/>
          <w:szCs w:val="24"/>
        </w:rPr>
        <w:t xml:space="preserve">metric multidimensional scaling (MDS), a dimensionality reduction-based </w:t>
      </w:r>
      <w:r w:rsidR="006E6CB9">
        <w:rPr>
          <w:sz w:val="24"/>
          <w:szCs w:val="24"/>
        </w:rPr>
        <w:t xml:space="preserve">visual representation approach </w:t>
      </w:r>
      <w:r w:rsidR="00B944EC">
        <w:rPr>
          <w:sz w:val="24"/>
          <w:szCs w:val="24"/>
        </w:rPr>
        <w:t>for</w:t>
      </w:r>
      <w:r w:rsidR="006E6CB9">
        <w:rPr>
          <w:sz w:val="24"/>
          <w:szCs w:val="24"/>
        </w:rPr>
        <w:t xml:space="preserve"> the analysis seismic data</w:t>
      </w:r>
      <w:r w:rsidR="004C6D20">
        <w:rPr>
          <w:sz w:val="24"/>
          <w:szCs w:val="24"/>
        </w:rPr>
        <w:t xml:space="preserve"> collected by stations in Japan</w:t>
      </w:r>
      <w:r w:rsidR="006E6CB9">
        <w:rPr>
          <w:sz w:val="24"/>
          <w:szCs w:val="24"/>
        </w:rPr>
        <w:t xml:space="preserve"> with the hope that the findings contribute to the refining and continuous improvement of </w:t>
      </w:r>
      <w:r w:rsidR="00AB29FB">
        <w:rPr>
          <w:sz w:val="24"/>
          <w:szCs w:val="24"/>
        </w:rPr>
        <w:t xml:space="preserve">seismology </w:t>
      </w:r>
      <w:r w:rsidR="00923D42">
        <w:rPr>
          <w:sz w:val="24"/>
          <w:szCs w:val="24"/>
        </w:rPr>
        <w:t xml:space="preserve">and </w:t>
      </w:r>
      <w:r w:rsidR="006E6CB9">
        <w:rPr>
          <w:sz w:val="24"/>
          <w:szCs w:val="24"/>
        </w:rPr>
        <w:t>earthquake prediction around the globe.</w:t>
      </w:r>
      <w:r w:rsidR="00610D59">
        <w:rPr>
          <w:sz w:val="24"/>
          <w:szCs w:val="24"/>
        </w:rPr>
        <w:t xml:space="preserve"> While the present research is insufficient in scope to provide a full account of the possibilities of multidimensional scaling for seismic research, it may provide a snapshot of what could be expected from this technique in the near future as geophysicist and earth scientists develop novel theories and methods for predictive purposes.</w:t>
      </w:r>
    </w:p>
    <w:p w14:paraId="1EAB2F89" w14:textId="67B133C5" w:rsidR="00D0437D" w:rsidRPr="00610D59" w:rsidRDefault="00D0437D" w:rsidP="00BE66AC">
      <w:pPr>
        <w:spacing w:line="480" w:lineRule="auto"/>
        <w:jc w:val="both"/>
        <w:rPr>
          <w:sz w:val="24"/>
          <w:szCs w:val="24"/>
        </w:rPr>
      </w:pPr>
      <w:r>
        <w:rPr>
          <w:b/>
          <w:bCs/>
          <w:sz w:val="28"/>
          <w:szCs w:val="28"/>
        </w:rPr>
        <w:lastRenderedPageBreak/>
        <w:t>Literature review: Earthquake prediction</w:t>
      </w:r>
    </w:p>
    <w:p w14:paraId="78C64A91" w14:textId="0DF8233C" w:rsidR="00413260" w:rsidRPr="00413260" w:rsidRDefault="00D0437D" w:rsidP="00413260">
      <w:pPr>
        <w:spacing w:line="480" w:lineRule="auto"/>
        <w:jc w:val="both"/>
        <w:rPr>
          <w:sz w:val="24"/>
          <w:szCs w:val="24"/>
        </w:rPr>
      </w:pPr>
      <w:r>
        <w:rPr>
          <w:sz w:val="24"/>
          <w:szCs w:val="24"/>
        </w:rPr>
        <w:t>Predicting where and when earthquakes may occur is such a complicated and technologically demanding scientific task that noted American geophysicist Frank Press remarked that it was only in the middle of the 20</w:t>
      </w:r>
      <w:r w:rsidRPr="00D0437D">
        <w:rPr>
          <w:sz w:val="24"/>
          <w:szCs w:val="24"/>
          <w:vertAlign w:val="superscript"/>
        </w:rPr>
        <w:t>th</w:t>
      </w:r>
      <w:r>
        <w:rPr>
          <w:sz w:val="24"/>
          <w:szCs w:val="24"/>
        </w:rPr>
        <w:t xml:space="preserve"> century that earthquake prediction had “</w:t>
      </w:r>
      <w:r w:rsidRPr="00D0437D">
        <w:rPr>
          <w:sz w:val="24"/>
          <w:szCs w:val="24"/>
        </w:rPr>
        <w:t>parted company with soothsaying and astrology to become a scientifically rigorous pursuit</w:t>
      </w:r>
      <w:r>
        <w:rPr>
          <w:sz w:val="24"/>
          <w:szCs w:val="24"/>
        </w:rPr>
        <w:t>.”</w:t>
      </w:r>
      <w:r>
        <w:rPr>
          <w:rStyle w:val="FootnoteReference"/>
          <w:sz w:val="24"/>
          <w:szCs w:val="24"/>
        </w:rPr>
        <w:footnoteReference w:id="3"/>
      </w:r>
      <w:r w:rsidR="00577242">
        <w:rPr>
          <w:sz w:val="24"/>
          <w:szCs w:val="24"/>
        </w:rPr>
        <w:t xml:space="preserve"> Stein and </w:t>
      </w:r>
      <w:proofErr w:type="spellStart"/>
      <w:r w:rsidR="00577242">
        <w:rPr>
          <w:sz w:val="24"/>
          <w:szCs w:val="24"/>
        </w:rPr>
        <w:t>Wysession</w:t>
      </w:r>
      <w:proofErr w:type="spellEnd"/>
      <w:r w:rsidR="00577242">
        <w:rPr>
          <w:sz w:val="24"/>
          <w:szCs w:val="24"/>
        </w:rPr>
        <w:t xml:space="preserve"> define earthquake prediction as ‘specifying within certain ranges the location, time, and size of an earthquake a few years to days before it occurs’, and note that many earthquakes tend to follow periods of ‘anomalous seismicity’, however, they add that</w:t>
      </w:r>
      <w:r w:rsidR="002528FF">
        <w:rPr>
          <w:sz w:val="24"/>
          <w:szCs w:val="24"/>
        </w:rPr>
        <w:t xml:space="preserve"> while </w:t>
      </w:r>
      <w:r w:rsidR="00577242">
        <w:rPr>
          <w:sz w:val="24"/>
          <w:szCs w:val="24"/>
        </w:rPr>
        <w:t xml:space="preserve">‘earthquake prediction would be seismology’s greatest </w:t>
      </w:r>
      <w:r w:rsidR="00E70F66">
        <w:rPr>
          <w:sz w:val="24"/>
          <w:szCs w:val="24"/>
        </w:rPr>
        <w:t>triumph</w:t>
      </w:r>
      <w:r w:rsidR="00577242">
        <w:rPr>
          <w:sz w:val="24"/>
          <w:szCs w:val="24"/>
        </w:rPr>
        <w:t>,</w:t>
      </w:r>
      <w:r w:rsidR="00E70F66">
        <w:rPr>
          <w:sz w:val="24"/>
          <w:szCs w:val="24"/>
        </w:rPr>
        <w:t xml:space="preserve"> it is either far away or will never happen.’</w:t>
      </w:r>
      <w:r w:rsidR="00E70F66">
        <w:rPr>
          <w:rStyle w:val="FootnoteReference"/>
          <w:sz w:val="24"/>
          <w:szCs w:val="24"/>
        </w:rPr>
        <w:footnoteReference w:id="4"/>
      </w:r>
      <w:r w:rsidR="00E70F66">
        <w:rPr>
          <w:sz w:val="24"/>
          <w:szCs w:val="24"/>
        </w:rPr>
        <w:t xml:space="preserve"> </w:t>
      </w:r>
      <w:r w:rsidR="000B593F">
        <w:rPr>
          <w:sz w:val="24"/>
          <w:szCs w:val="24"/>
        </w:rPr>
        <w:t>Predictio</w:t>
      </w:r>
      <w:r w:rsidR="00CB28ED">
        <w:rPr>
          <w:sz w:val="24"/>
          <w:szCs w:val="24"/>
        </w:rPr>
        <w:t>n is not necessarily made easier by a geographic focus on seismicity along fault lines, as, a</w:t>
      </w:r>
      <w:r w:rsidR="000B593F">
        <w:rPr>
          <w:sz w:val="24"/>
          <w:szCs w:val="24"/>
        </w:rPr>
        <w:t xml:space="preserve">ccording to Jackson, ‘most </w:t>
      </w:r>
      <w:r w:rsidR="000B593F" w:rsidRPr="000B593F">
        <w:rPr>
          <w:sz w:val="24"/>
          <w:szCs w:val="24"/>
        </w:rPr>
        <w:t>seismologists agree that earthquakes are clustered both in space and in time. Even along a major plate boundary, some regions are considerably more active than others</w:t>
      </w:r>
      <w:r w:rsidR="00CB28ED">
        <w:rPr>
          <w:sz w:val="24"/>
          <w:szCs w:val="24"/>
        </w:rPr>
        <w:t>’, adding that a quantitative predictive analysis, such as hypothesis testing, is ‘easier said than done’ partly due to insufficient available seismic data in certain regions of the world.</w:t>
      </w:r>
      <w:r w:rsidR="00CB28ED">
        <w:rPr>
          <w:rStyle w:val="FootnoteReference"/>
          <w:sz w:val="24"/>
          <w:szCs w:val="24"/>
        </w:rPr>
        <w:footnoteReference w:id="5"/>
      </w:r>
      <w:r w:rsidR="00CB28ED">
        <w:rPr>
          <w:sz w:val="24"/>
          <w:szCs w:val="24"/>
        </w:rPr>
        <w:t xml:space="preserve"> </w:t>
      </w:r>
      <w:r w:rsidR="000B593F">
        <w:rPr>
          <w:sz w:val="24"/>
          <w:szCs w:val="24"/>
        </w:rPr>
        <w:t xml:space="preserve">  </w:t>
      </w:r>
      <w:r w:rsidR="00E70F66">
        <w:rPr>
          <w:sz w:val="24"/>
          <w:szCs w:val="24"/>
        </w:rPr>
        <w:t xml:space="preserve">In a 2013 paper, Ogata concurred with the assessment that </w:t>
      </w:r>
      <w:r w:rsidR="00577242">
        <w:rPr>
          <w:sz w:val="24"/>
          <w:szCs w:val="24"/>
        </w:rPr>
        <w:t xml:space="preserve"> </w:t>
      </w:r>
      <w:r w:rsidR="00E70F66">
        <w:rPr>
          <w:sz w:val="24"/>
          <w:szCs w:val="24"/>
        </w:rPr>
        <w:t>there were ‘unachievable challenges in deterministic earthquake prediction</w:t>
      </w:r>
      <w:r w:rsidR="002528FF">
        <w:rPr>
          <w:sz w:val="24"/>
          <w:szCs w:val="24"/>
        </w:rPr>
        <w:t>’</w:t>
      </w:r>
      <w:r w:rsidR="00E70F66">
        <w:rPr>
          <w:sz w:val="24"/>
          <w:szCs w:val="24"/>
        </w:rPr>
        <w:t xml:space="preserve"> due to the ‘diversity and complexity of the earthquake phenomenon’, despite noting the major technological and theoretical advances in the field of Earth science </w:t>
      </w:r>
      <w:r w:rsidR="002528FF">
        <w:rPr>
          <w:sz w:val="24"/>
          <w:szCs w:val="24"/>
        </w:rPr>
        <w:t xml:space="preserve">and geophysics </w:t>
      </w:r>
      <w:r w:rsidR="00E70F66">
        <w:rPr>
          <w:sz w:val="24"/>
          <w:szCs w:val="24"/>
        </w:rPr>
        <w:t>since the 1960s.</w:t>
      </w:r>
      <w:r w:rsidR="002528FF">
        <w:rPr>
          <w:rStyle w:val="FootnoteReference"/>
          <w:sz w:val="24"/>
          <w:szCs w:val="24"/>
        </w:rPr>
        <w:footnoteReference w:id="6"/>
      </w:r>
      <w:r w:rsidR="002528FF">
        <w:rPr>
          <w:sz w:val="24"/>
          <w:szCs w:val="24"/>
        </w:rPr>
        <w:t xml:space="preserve"> Ogata’s </w:t>
      </w:r>
      <w:r w:rsidR="002528FF">
        <w:rPr>
          <w:sz w:val="24"/>
          <w:szCs w:val="24"/>
        </w:rPr>
        <w:lastRenderedPageBreak/>
        <w:t>probabilistic analysis of seismic data concluded that</w:t>
      </w:r>
      <w:r w:rsidR="002528FF" w:rsidRPr="002528FF">
        <w:rPr>
          <w:sz w:val="24"/>
          <w:szCs w:val="24"/>
        </w:rPr>
        <w:t xml:space="preserve"> </w:t>
      </w:r>
      <w:r w:rsidR="002528FF">
        <w:rPr>
          <w:sz w:val="24"/>
          <w:szCs w:val="24"/>
        </w:rPr>
        <w:t>‘</w:t>
      </w:r>
      <w:r w:rsidR="002528FF" w:rsidRPr="002528FF">
        <w:rPr>
          <w:sz w:val="24"/>
          <w:szCs w:val="24"/>
        </w:rPr>
        <w:t>the method of statistical science is essential to elucidate movement leading to prediction of a complex sys</w:t>
      </w:r>
      <w:r w:rsidR="002528FF">
        <w:rPr>
          <w:sz w:val="24"/>
          <w:szCs w:val="24"/>
        </w:rPr>
        <w:t>tem’ and stressed the need for a forecasting model capable of handling and processing complex data with various covariates.</w:t>
      </w:r>
      <w:r w:rsidR="002528FF">
        <w:rPr>
          <w:rStyle w:val="FootnoteReference"/>
          <w:sz w:val="24"/>
          <w:szCs w:val="24"/>
        </w:rPr>
        <w:footnoteReference w:id="7"/>
      </w:r>
      <w:r w:rsidR="00CF72C9">
        <w:rPr>
          <w:sz w:val="24"/>
          <w:szCs w:val="24"/>
        </w:rPr>
        <w:t xml:space="preserve"> Recent technological advances, such as the surge of machine-learning based statistical models could open new horizons for earthquake prediction science, after a period at the end of the last century when a number of countries reduced funding and resources for such research deeming it unreliable, with Japan being one of the few exceptions</w:t>
      </w:r>
      <w:r w:rsidR="009316CC">
        <w:rPr>
          <w:sz w:val="24"/>
          <w:szCs w:val="24"/>
        </w:rPr>
        <w:t xml:space="preserve"> in continuously investing in predictive seismology even as University of Tokio seismologist Robert Geller claimed that prediction was ‘impossible’ and the claims of its supporters were ‘irresponsible’.</w:t>
      </w:r>
      <w:r w:rsidR="009316CC">
        <w:rPr>
          <w:rStyle w:val="FootnoteReference"/>
          <w:sz w:val="24"/>
          <w:szCs w:val="24"/>
        </w:rPr>
        <w:footnoteReference w:id="8"/>
      </w:r>
      <w:r w:rsidR="00A51364">
        <w:rPr>
          <w:sz w:val="24"/>
          <w:szCs w:val="24"/>
        </w:rPr>
        <w:t xml:space="preserve"> </w:t>
      </w:r>
    </w:p>
    <w:p w14:paraId="4222D9E3" w14:textId="77777777" w:rsidR="00413260" w:rsidRDefault="00533ACF" w:rsidP="00280C02">
      <w:pPr>
        <w:keepNext/>
        <w:spacing w:line="240" w:lineRule="auto"/>
        <w:jc w:val="center"/>
      </w:pPr>
      <w:r w:rsidRPr="00533ACF">
        <w:rPr>
          <w:noProof/>
          <w:sz w:val="24"/>
          <w:szCs w:val="24"/>
        </w:rPr>
        <w:drawing>
          <wp:inline distT="0" distB="0" distL="0" distR="0" wp14:anchorId="1BEDA71C" wp14:editId="243FF42D">
            <wp:extent cx="3282950" cy="3591997"/>
            <wp:effectExtent l="133350" t="114300" r="127000" b="161290"/>
            <wp:docPr id="961365272" name="Picture 1" descr="A map of the north and south americ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65272" name="Picture 1" descr="A map of the north and south america&#10;&#10;Description automatically generated"/>
                    <pic:cNvPicPr/>
                  </pic:nvPicPr>
                  <pic:blipFill>
                    <a:blip r:embed="rId8"/>
                    <a:stretch>
                      <a:fillRect/>
                    </a:stretch>
                  </pic:blipFill>
                  <pic:spPr>
                    <a:xfrm>
                      <a:off x="0" y="0"/>
                      <a:ext cx="3282950" cy="35919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32C694C" w14:textId="35E0FCCE" w:rsidR="00533ACF" w:rsidRPr="00413260" w:rsidRDefault="00413260" w:rsidP="00413260">
      <w:pPr>
        <w:pStyle w:val="Caption"/>
        <w:jc w:val="center"/>
        <w:rPr>
          <w:sz w:val="22"/>
          <w:szCs w:val="22"/>
        </w:rPr>
      </w:pPr>
      <w:r w:rsidRPr="00413260">
        <w:rPr>
          <w:sz w:val="22"/>
          <w:szCs w:val="22"/>
        </w:rPr>
        <w:t xml:space="preserve">Figure 1: Seismic hazard contour map of Japan and East Asia </w:t>
      </w:r>
      <w:r>
        <w:rPr>
          <w:sz w:val="22"/>
          <w:szCs w:val="22"/>
        </w:rPr>
        <w:t>in</w:t>
      </w:r>
      <w:r w:rsidRPr="00413260">
        <w:rPr>
          <w:sz w:val="22"/>
          <w:szCs w:val="22"/>
        </w:rPr>
        <w:t xml:space="preserve"> </w:t>
      </w:r>
      <w:proofErr w:type="spellStart"/>
      <w:r w:rsidRPr="00413260">
        <w:rPr>
          <w:sz w:val="22"/>
          <w:szCs w:val="22"/>
        </w:rPr>
        <w:t>Tsapanos</w:t>
      </w:r>
      <w:proofErr w:type="spellEnd"/>
      <w:r w:rsidRPr="00413260">
        <w:rPr>
          <w:sz w:val="22"/>
          <w:szCs w:val="22"/>
        </w:rPr>
        <w:t xml:space="preserve"> and Burton (1991:163)</w:t>
      </w:r>
    </w:p>
    <w:p w14:paraId="44B64992" w14:textId="4A3A7A8C" w:rsidR="00D0437D" w:rsidRDefault="00A51364" w:rsidP="00BE66AC">
      <w:pPr>
        <w:spacing w:line="480" w:lineRule="auto"/>
        <w:jc w:val="both"/>
        <w:rPr>
          <w:sz w:val="24"/>
          <w:szCs w:val="24"/>
        </w:rPr>
      </w:pPr>
      <w:r>
        <w:rPr>
          <w:sz w:val="24"/>
          <w:szCs w:val="24"/>
        </w:rPr>
        <w:lastRenderedPageBreak/>
        <w:t xml:space="preserve">Nevertheless, the desperation of the Japanese leadership for reliable predictive methods is justified: In </w:t>
      </w:r>
      <w:proofErr w:type="spellStart"/>
      <w:r>
        <w:rPr>
          <w:sz w:val="24"/>
          <w:szCs w:val="24"/>
        </w:rPr>
        <w:t>Tsapanos</w:t>
      </w:r>
      <w:proofErr w:type="spellEnd"/>
      <w:r>
        <w:rPr>
          <w:sz w:val="24"/>
          <w:szCs w:val="24"/>
        </w:rPr>
        <w:t xml:space="preserve"> and Burton’s seismic hazard evaluation paper, which ranked countries in terms of the largest magnitude earthquake expected in the next 85 years </w:t>
      </w:r>
      <w:r w:rsidR="00DD6EE0">
        <w:rPr>
          <w:sz w:val="24"/>
          <w:szCs w:val="24"/>
        </w:rPr>
        <w:t>–</w:t>
      </w:r>
      <w:r>
        <w:rPr>
          <w:sz w:val="24"/>
          <w:szCs w:val="24"/>
        </w:rPr>
        <w:t xml:space="preserve"> </w:t>
      </w:r>
      <w:r w:rsidR="00DD6EE0">
        <w:rPr>
          <w:sz w:val="24"/>
          <w:szCs w:val="24"/>
        </w:rPr>
        <w:t>using a probabilistic analysis of</w:t>
      </w:r>
      <w:r w:rsidR="00DD6EE0" w:rsidRPr="00DD6EE0">
        <w:rPr>
          <w:sz w:val="24"/>
          <w:szCs w:val="24"/>
        </w:rPr>
        <w:t xml:space="preserve"> past earthquake magnitude </w:t>
      </w:r>
      <w:r w:rsidR="000B593F" w:rsidRPr="00DD6EE0">
        <w:rPr>
          <w:sz w:val="24"/>
          <w:szCs w:val="24"/>
        </w:rPr>
        <w:t>data</w:t>
      </w:r>
      <w:r w:rsidR="000B593F">
        <w:rPr>
          <w:sz w:val="24"/>
          <w:szCs w:val="24"/>
        </w:rPr>
        <w:t xml:space="preserve"> based</w:t>
      </w:r>
      <w:r w:rsidR="00DD6EE0">
        <w:rPr>
          <w:sz w:val="24"/>
          <w:szCs w:val="24"/>
        </w:rPr>
        <w:t xml:space="preserve"> on Gumbel’s third asymptotic distribution</w:t>
      </w:r>
      <w:r w:rsidR="0032125B">
        <w:rPr>
          <w:sz w:val="24"/>
          <w:szCs w:val="24"/>
        </w:rPr>
        <w:t xml:space="preserve"> – Japan ranked 1</w:t>
      </w:r>
      <w:r w:rsidR="0032125B" w:rsidRPr="0032125B">
        <w:rPr>
          <w:sz w:val="24"/>
          <w:szCs w:val="24"/>
          <w:vertAlign w:val="superscript"/>
        </w:rPr>
        <w:t>st</w:t>
      </w:r>
      <w:r w:rsidR="0032125B">
        <w:rPr>
          <w:sz w:val="24"/>
          <w:szCs w:val="24"/>
        </w:rPr>
        <w:t xml:space="preserve"> with an expected largest magnitude of </w:t>
      </w:r>
      <w:r w:rsidR="0032125B" w:rsidRPr="0032125B">
        <w:rPr>
          <w:i/>
          <w:iCs/>
          <w:sz w:val="24"/>
          <w:szCs w:val="24"/>
        </w:rPr>
        <w:t>8.6.</w:t>
      </w:r>
      <w:r w:rsidR="0032125B">
        <w:rPr>
          <w:rStyle w:val="FootnoteReference"/>
          <w:i/>
          <w:iCs/>
          <w:sz w:val="24"/>
          <w:szCs w:val="24"/>
        </w:rPr>
        <w:footnoteReference w:id="9"/>
      </w:r>
      <w:r w:rsidR="0032125B">
        <w:rPr>
          <w:i/>
          <w:iCs/>
          <w:sz w:val="24"/>
          <w:szCs w:val="24"/>
        </w:rPr>
        <w:t xml:space="preserve"> </w:t>
      </w:r>
    </w:p>
    <w:p w14:paraId="1E0B6165" w14:textId="77777777" w:rsidR="008E095B" w:rsidRDefault="008E095B" w:rsidP="00280C02">
      <w:pPr>
        <w:keepNext/>
        <w:spacing w:line="240" w:lineRule="auto"/>
        <w:jc w:val="center"/>
      </w:pPr>
      <w:r w:rsidRPr="008E095B">
        <w:rPr>
          <w:noProof/>
          <w:sz w:val="24"/>
          <w:szCs w:val="24"/>
        </w:rPr>
        <w:drawing>
          <wp:inline distT="0" distB="0" distL="0" distR="0" wp14:anchorId="6BAF8E5A" wp14:editId="34AB0C0A">
            <wp:extent cx="5222240" cy="3556000"/>
            <wp:effectExtent l="133350" t="114300" r="149860" b="158750"/>
            <wp:docPr id="460126322"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26322" name="Picture 1" descr="A graph of a number of people&#10;&#10;Description automatically generated"/>
                    <pic:cNvPicPr/>
                  </pic:nvPicPr>
                  <pic:blipFill>
                    <a:blip r:embed="rId9"/>
                    <a:stretch>
                      <a:fillRect/>
                    </a:stretch>
                  </pic:blipFill>
                  <pic:spPr>
                    <a:xfrm>
                      <a:off x="0" y="0"/>
                      <a:ext cx="5222592" cy="35562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3FF720E" w14:textId="19A16C38" w:rsidR="008E095B" w:rsidRPr="00413260" w:rsidRDefault="008E095B" w:rsidP="008E095B">
      <w:pPr>
        <w:pStyle w:val="Caption"/>
        <w:jc w:val="center"/>
        <w:rPr>
          <w:sz w:val="22"/>
          <w:szCs w:val="22"/>
        </w:rPr>
      </w:pPr>
      <w:r w:rsidRPr="00413260">
        <w:rPr>
          <w:sz w:val="22"/>
          <w:szCs w:val="22"/>
        </w:rPr>
        <w:t xml:space="preserve">Figure </w:t>
      </w:r>
      <w:r w:rsidR="00413260">
        <w:rPr>
          <w:sz w:val="22"/>
          <w:szCs w:val="22"/>
        </w:rPr>
        <w:t>2</w:t>
      </w:r>
      <w:r w:rsidRPr="00413260">
        <w:rPr>
          <w:sz w:val="22"/>
          <w:szCs w:val="22"/>
        </w:rPr>
        <w:t xml:space="preserve">: Correlation between earthquake casualty rates and population density </w:t>
      </w:r>
      <w:r w:rsidR="00280C02">
        <w:rPr>
          <w:sz w:val="22"/>
          <w:szCs w:val="22"/>
        </w:rPr>
        <w:t xml:space="preserve">in </w:t>
      </w:r>
      <w:proofErr w:type="spellStart"/>
      <w:r w:rsidR="00280C02" w:rsidRPr="00413260">
        <w:rPr>
          <w:sz w:val="22"/>
          <w:szCs w:val="22"/>
        </w:rPr>
        <w:t>Samardjieva</w:t>
      </w:r>
      <w:proofErr w:type="spellEnd"/>
      <w:r w:rsidRPr="00413260">
        <w:rPr>
          <w:sz w:val="22"/>
          <w:szCs w:val="22"/>
        </w:rPr>
        <w:t xml:space="preserve"> and Badal (2002: 2318)</w:t>
      </w:r>
    </w:p>
    <w:p w14:paraId="3CB21D29" w14:textId="2D8518B8" w:rsidR="008E095B" w:rsidRDefault="008E095B" w:rsidP="00533ACF">
      <w:pPr>
        <w:spacing w:line="480" w:lineRule="auto"/>
        <w:jc w:val="both"/>
        <w:rPr>
          <w:sz w:val="24"/>
          <w:szCs w:val="24"/>
        </w:rPr>
      </w:pPr>
      <w:r>
        <w:rPr>
          <w:sz w:val="24"/>
          <w:szCs w:val="24"/>
        </w:rPr>
        <w:t xml:space="preserve">As Japan has some of the world’s most densely populated urban areas, it is no surprise that the refining of earthquake prediction is a priority along the Japan </w:t>
      </w:r>
      <w:r w:rsidR="00533ACF">
        <w:rPr>
          <w:sz w:val="24"/>
          <w:szCs w:val="24"/>
        </w:rPr>
        <w:t>trench, considering that there appears to be a positive correlation between population density and fatalities in the case of major earthquakes and it has been estimated that for an earthquake of magnitude 8, around 9% of the population could be killed in a densely populous area (</w:t>
      </w:r>
      <w:r w:rsidR="00533ACF" w:rsidRPr="00533ACF">
        <w:rPr>
          <w:sz w:val="24"/>
          <w:szCs w:val="24"/>
        </w:rPr>
        <w:t xml:space="preserve">D </w:t>
      </w:r>
      <w:r w:rsidR="00533ACF">
        <w:rPr>
          <w:sz w:val="24"/>
          <w:szCs w:val="24"/>
        </w:rPr>
        <w:lastRenderedPageBreak/>
        <w:t>~</w:t>
      </w:r>
      <w:r w:rsidR="00533ACF" w:rsidRPr="00533ACF">
        <w:rPr>
          <w:sz w:val="24"/>
          <w:szCs w:val="24"/>
        </w:rPr>
        <w:t xml:space="preserve"> 300 people/km</w:t>
      </w:r>
      <w:r w:rsidR="00533ACF" w:rsidRPr="00533ACF">
        <w:rPr>
          <w:sz w:val="24"/>
          <w:szCs w:val="24"/>
          <w:vertAlign w:val="superscript"/>
        </w:rPr>
        <w:t>2</w:t>
      </w:r>
      <w:r w:rsidR="00533ACF" w:rsidRPr="00533ACF">
        <w:rPr>
          <w:sz w:val="24"/>
          <w:szCs w:val="24"/>
        </w:rPr>
        <w:t>)</w:t>
      </w:r>
      <w:r w:rsidR="00466B45">
        <w:rPr>
          <w:sz w:val="24"/>
          <w:szCs w:val="24"/>
        </w:rPr>
        <w:t xml:space="preserve">, as displayed on </w:t>
      </w:r>
      <w:r w:rsidR="00466B45" w:rsidRPr="00466B45">
        <w:rPr>
          <w:i/>
          <w:iCs/>
          <w:sz w:val="24"/>
          <w:szCs w:val="24"/>
        </w:rPr>
        <w:t>Figure 2</w:t>
      </w:r>
      <w:r w:rsidR="00533ACF">
        <w:rPr>
          <w:sz w:val="24"/>
          <w:szCs w:val="24"/>
        </w:rPr>
        <w:t>.</w:t>
      </w:r>
      <w:r w:rsidR="00533ACF">
        <w:rPr>
          <w:rStyle w:val="FootnoteReference"/>
          <w:sz w:val="24"/>
          <w:szCs w:val="24"/>
        </w:rPr>
        <w:footnoteReference w:id="10"/>
      </w:r>
      <w:r w:rsidR="00466B45">
        <w:rPr>
          <w:sz w:val="24"/>
          <w:szCs w:val="24"/>
        </w:rPr>
        <w:t xml:space="preserve"> There is, however, some hope for Japan and other seismically active areas of the world that significant progress can be made in coming years, partly as a consequence of advances in data science. Over the past </w:t>
      </w:r>
      <w:r w:rsidR="00F74E76">
        <w:rPr>
          <w:sz w:val="24"/>
          <w:szCs w:val="24"/>
        </w:rPr>
        <w:t xml:space="preserve">half a </w:t>
      </w:r>
      <w:r w:rsidR="00466B45">
        <w:rPr>
          <w:sz w:val="24"/>
          <w:szCs w:val="24"/>
        </w:rPr>
        <w:t xml:space="preserve">decade, a vast number of machine learning methods have been deployed </w:t>
      </w:r>
      <w:r w:rsidR="00F74E76">
        <w:rPr>
          <w:sz w:val="24"/>
          <w:szCs w:val="24"/>
        </w:rPr>
        <w:t>by researchers in predictive seismology, and various machine learning tools have been used to predict ‘intensity of ground motion’, ‘earthquake magnitude within 7 days’ and ‘ground motion duration’ among other areas of prediction.</w:t>
      </w:r>
      <w:r w:rsidR="00F74E76">
        <w:rPr>
          <w:rStyle w:val="FootnoteReference"/>
          <w:sz w:val="24"/>
          <w:szCs w:val="24"/>
        </w:rPr>
        <w:footnoteReference w:id="11"/>
      </w:r>
      <w:r w:rsidR="00F77531">
        <w:rPr>
          <w:sz w:val="24"/>
          <w:szCs w:val="24"/>
        </w:rPr>
        <w:t xml:space="preserve"> </w:t>
      </w:r>
      <w:r w:rsidR="00DF53C8">
        <w:rPr>
          <w:sz w:val="24"/>
          <w:szCs w:val="24"/>
        </w:rPr>
        <w:t>Deep learning t</w:t>
      </w:r>
      <w:r w:rsidR="00F77531">
        <w:rPr>
          <w:sz w:val="24"/>
          <w:szCs w:val="24"/>
        </w:rPr>
        <w:t>echniques such as long short-term memory neural networks (LSTM)</w:t>
      </w:r>
      <w:r w:rsidR="00F77531">
        <w:rPr>
          <w:rStyle w:val="FootnoteReference"/>
          <w:sz w:val="24"/>
          <w:szCs w:val="24"/>
        </w:rPr>
        <w:footnoteReference w:id="12"/>
      </w:r>
      <w:r w:rsidR="00F77531">
        <w:rPr>
          <w:sz w:val="24"/>
          <w:szCs w:val="24"/>
        </w:rPr>
        <w:t xml:space="preserve"> and convolutional neural networks (CNN)</w:t>
      </w:r>
      <w:r w:rsidR="00F77531">
        <w:rPr>
          <w:rStyle w:val="FootnoteReference"/>
          <w:sz w:val="24"/>
          <w:szCs w:val="24"/>
        </w:rPr>
        <w:footnoteReference w:id="13"/>
      </w:r>
      <w:r w:rsidR="00DF53C8">
        <w:rPr>
          <w:sz w:val="24"/>
          <w:szCs w:val="24"/>
        </w:rPr>
        <w:t xml:space="preserve"> have recently been used by seismologist and data scientists to predict magnitude from precursory seismic phenomena, with the CNN model reaching a </w:t>
      </w:r>
      <w:r w:rsidR="00DF53C8" w:rsidRPr="00DF53C8">
        <w:rPr>
          <w:i/>
          <w:iCs/>
          <w:sz w:val="24"/>
          <w:szCs w:val="24"/>
        </w:rPr>
        <w:t>97.88%</w:t>
      </w:r>
      <w:r w:rsidR="00DF53C8">
        <w:rPr>
          <w:sz w:val="24"/>
          <w:szCs w:val="24"/>
        </w:rPr>
        <w:t xml:space="preserve"> accuracy in doing so.</w:t>
      </w:r>
      <w:r w:rsidR="00DF53C8">
        <w:rPr>
          <w:rStyle w:val="FootnoteReference"/>
          <w:sz w:val="24"/>
          <w:szCs w:val="24"/>
        </w:rPr>
        <w:footnoteReference w:id="14"/>
      </w:r>
      <w:r w:rsidR="00D827D4">
        <w:rPr>
          <w:sz w:val="24"/>
          <w:szCs w:val="24"/>
        </w:rPr>
        <w:t xml:space="preserve"> A neural networks study by Mousavi and Beroza showed that ‘</w:t>
      </w:r>
      <w:r w:rsidR="00D827D4" w:rsidRPr="00D827D4">
        <w:rPr>
          <w:sz w:val="24"/>
          <w:szCs w:val="24"/>
        </w:rPr>
        <w:t>site</w:t>
      </w:r>
      <w:r w:rsidR="00D827D4" w:rsidRPr="00D827D4">
        <w:rPr>
          <w:rFonts w:ascii="Cambria Math" w:hAnsi="Cambria Math" w:cs="Cambria Math"/>
          <w:sz w:val="24"/>
          <w:szCs w:val="24"/>
        </w:rPr>
        <w:t>‐</w:t>
      </w:r>
      <w:r w:rsidR="00D827D4" w:rsidRPr="00D827D4">
        <w:rPr>
          <w:sz w:val="24"/>
          <w:szCs w:val="24"/>
        </w:rPr>
        <w:t>speci</w:t>
      </w:r>
      <w:r w:rsidR="00D827D4" w:rsidRPr="00D827D4">
        <w:rPr>
          <w:rFonts w:ascii="Aptos" w:hAnsi="Aptos" w:cs="Aptos"/>
          <w:sz w:val="24"/>
          <w:szCs w:val="24"/>
        </w:rPr>
        <w:t>ﬁ</w:t>
      </w:r>
      <w:r w:rsidR="00D827D4" w:rsidRPr="00D827D4">
        <w:rPr>
          <w:sz w:val="24"/>
          <w:szCs w:val="24"/>
        </w:rPr>
        <w:t>c learning can be an effective strategy for improving performance, while region</w:t>
      </w:r>
      <w:r w:rsidR="00D827D4" w:rsidRPr="00D827D4">
        <w:rPr>
          <w:rFonts w:ascii="Cambria Math" w:hAnsi="Cambria Math" w:cs="Cambria Math"/>
          <w:sz w:val="24"/>
          <w:szCs w:val="24"/>
        </w:rPr>
        <w:t>‐</w:t>
      </w:r>
      <w:r w:rsidR="00D827D4" w:rsidRPr="00D827D4">
        <w:rPr>
          <w:sz w:val="24"/>
          <w:szCs w:val="24"/>
        </w:rPr>
        <w:t>speci</w:t>
      </w:r>
      <w:r w:rsidR="00D827D4" w:rsidRPr="00D827D4">
        <w:rPr>
          <w:rFonts w:ascii="Aptos" w:hAnsi="Aptos" w:cs="Aptos"/>
          <w:sz w:val="24"/>
          <w:szCs w:val="24"/>
        </w:rPr>
        <w:t>ﬁ</w:t>
      </w:r>
      <w:r w:rsidR="00D827D4" w:rsidRPr="00D827D4">
        <w:rPr>
          <w:sz w:val="24"/>
          <w:szCs w:val="24"/>
        </w:rPr>
        <w:t>c training</w:t>
      </w:r>
      <w:r w:rsidR="00D827D4">
        <w:rPr>
          <w:sz w:val="24"/>
          <w:szCs w:val="24"/>
        </w:rPr>
        <w:t xml:space="preserve"> </w:t>
      </w:r>
      <w:r w:rsidR="00D827D4" w:rsidRPr="00D827D4">
        <w:rPr>
          <w:sz w:val="24"/>
          <w:szCs w:val="24"/>
        </w:rPr>
        <w:t>might not be important</w:t>
      </w:r>
      <w:r w:rsidR="00D827D4">
        <w:rPr>
          <w:sz w:val="24"/>
          <w:szCs w:val="24"/>
        </w:rPr>
        <w:t>’, suggesting that deep learning models constructed from data from seismic stations in a given location could be generalized on a global scale for predictive research.</w:t>
      </w:r>
      <w:r w:rsidR="00D827D4">
        <w:rPr>
          <w:rStyle w:val="FootnoteReference"/>
          <w:sz w:val="24"/>
          <w:szCs w:val="24"/>
        </w:rPr>
        <w:footnoteReference w:id="15"/>
      </w:r>
      <w:r w:rsidR="008C705B">
        <w:rPr>
          <w:sz w:val="24"/>
          <w:szCs w:val="24"/>
        </w:rPr>
        <w:t xml:space="preserve"> </w:t>
      </w:r>
    </w:p>
    <w:p w14:paraId="271422E4" w14:textId="77777777" w:rsidR="00B85832" w:rsidRDefault="00B85832" w:rsidP="00533ACF">
      <w:pPr>
        <w:spacing w:line="480" w:lineRule="auto"/>
        <w:jc w:val="both"/>
        <w:rPr>
          <w:sz w:val="24"/>
          <w:szCs w:val="24"/>
        </w:rPr>
      </w:pPr>
    </w:p>
    <w:p w14:paraId="42EA2BD2" w14:textId="77777777" w:rsidR="00B85832" w:rsidRDefault="00B85832" w:rsidP="00533ACF">
      <w:pPr>
        <w:spacing w:line="480" w:lineRule="auto"/>
        <w:jc w:val="both"/>
        <w:rPr>
          <w:b/>
          <w:bCs/>
          <w:sz w:val="28"/>
          <w:szCs w:val="28"/>
        </w:rPr>
      </w:pPr>
    </w:p>
    <w:p w14:paraId="7EFFDCD4" w14:textId="700C75B3" w:rsidR="00B85832" w:rsidRPr="00B85832" w:rsidRDefault="00B85832" w:rsidP="00533ACF">
      <w:pPr>
        <w:spacing w:line="480" w:lineRule="auto"/>
        <w:jc w:val="both"/>
        <w:rPr>
          <w:b/>
          <w:bCs/>
          <w:sz w:val="28"/>
          <w:szCs w:val="28"/>
        </w:rPr>
      </w:pPr>
      <w:r w:rsidRPr="00B85832">
        <w:rPr>
          <w:b/>
          <w:bCs/>
          <w:sz w:val="28"/>
          <w:szCs w:val="28"/>
        </w:rPr>
        <w:lastRenderedPageBreak/>
        <w:t>Data</w:t>
      </w:r>
      <w:r>
        <w:rPr>
          <w:b/>
          <w:bCs/>
          <w:sz w:val="28"/>
          <w:szCs w:val="28"/>
        </w:rPr>
        <w:t xml:space="preserve"> &amp; Methodology</w:t>
      </w:r>
    </w:p>
    <w:p w14:paraId="2B81453B" w14:textId="6A1339AD" w:rsidR="00B85832" w:rsidRDefault="00B85832" w:rsidP="00533ACF">
      <w:pPr>
        <w:spacing w:line="480" w:lineRule="auto"/>
        <w:jc w:val="both"/>
        <w:rPr>
          <w:rFonts w:eastAsiaTheme="minorEastAsia"/>
          <w:sz w:val="24"/>
          <w:szCs w:val="24"/>
        </w:rPr>
      </w:pPr>
      <w:r>
        <w:rPr>
          <w:sz w:val="24"/>
          <w:szCs w:val="24"/>
        </w:rPr>
        <w:t>This report uses a seismic dataset consisting of seven earthquakes re</w:t>
      </w:r>
      <w:r w:rsidR="00B17FE9">
        <w:rPr>
          <w:sz w:val="24"/>
          <w:szCs w:val="24"/>
        </w:rPr>
        <w:t>c</w:t>
      </w:r>
      <w:r>
        <w:rPr>
          <w:sz w:val="24"/>
          <w:szCs w:val="24"/>
        </w:rPr>
        <w:t>or</w:t>
      </w:r>
      <w:r w:rsidR="00B17FE9">
        <w:rPr>
          <w:sz w:val="24"/>
          <w:szCs w:val="24"/>
        </w:rPr>
        <w:t>d</w:t>
      </w:r>
      <w:r>
        <w:rPr>
          <w:sz w:val="24"/>
          <w:szCs w:val="24"/>
        </w:rPr>
        <w:t xml:space="preserve">ed in Japan during the past decade. </w:t>
      </w:r>
      <w:r w:rsidR="00B17FE9">
        <w:rPr>
          <w:sz w:val="24"/>
          <w:szCs w:val="24"/>
        </w:rPr>
        <w:t xml:space="preserve">The </w:t>
      </w:r>
      <w:r w:rsidR="00B61660">
        <w:rPr>
          <w:sz w:val="24"/>
          <w:szCs w:val="24"/>
        </w:rPr>
        <w:t>two</w:t>
      </w:r>
      <w:r w:rsidR="00B17FE9">
        <w:rPr>
          <w:sz w:val="24"/>
          <w:szCs w:val="24"/>
        </w:rPr>
        <w:t xml:space="preserve"> earthquakes included in this report occurred </w:t>
      </w:r>
      <w:r w:rsidR="00B61660">
        <w:rPr>
          <w:sz w:val="24"/>
          <w:szCs w:val="24"/>
        </w:rPr>
        <w:t>in 2016 near Kumamoto and Fukushima</w:t>
      </w:r>
      <w:r w:rsidR="00B17FE9">
        <w:rPr>
          <w:sz w:val="24"/>
          <w:szCs w:val="24"/>
        </w:rPr>
        <w:t xml:space="preserve">. </w:t>
      </w:r>
      <w:r>
        <w:rPr>
          <w:sz w:val="24"/>
          <w:szCs w:val="24"/>
        </w:rPr>
        <w:t xml:space="preserve">Each earthquake was recorded by multiple </w:t>
      </w:r>
      <w:r w:rsidR="00B17FE9">
        <w:rPr>
          <w:sz w:val="24"/>
          <w:szCs w:val="24"/>
        </w:rPr>
        <w:t xml:space="preserve">seismic </w:t>
      </w:r>
      <w:r>
        <w:rPr>
          <w:sz w:val="24"/>
          <w:szCs w:val="24"/>
        </w:rPr>
        <w:t xml:space="preserve">stations </w:t>
      </w:r>
      <w:r w:rsidR="00B17FE9">
        <w:rPr>
          <w:sz w:val="24"/>
          <w:szCs w:val="24"/>
        </w:rPr>
        <w:t xml:space="preserve">operated </w:t>
      </w:r>
      <w:r>
        <w:rPr>
          <w:sz w:val="24"/>
          <w:szCs w:val="24"/>
        </w:rPr>
        <w:t xml:space="preserve">across the country </w:t>
      </w:r>
      <w:r w:rsidR="00B17FE9">
        <w:rPr>
          <w:sz w:val="24"/>
          <w:szCs w:val="24"/>
        </w:rPr>
        <w:t>by the High Sensitivity Seismograph Network (Hi-net) of the National Research Institute for Earth Science and Disaster Resilience.</w:t>
      </w:r>
      <w:r w:rsidR="00B17FE9">
        <w:rPr>
          <w:rStyle w:val="FootnoteReference"/>
          <w:sz w:val="24"/>
          <w:szCs w:val="24"/>
        </w:rPr>
        <w:footnoteReference w:id="16"/>
      </w:r>
      <w:r w:rsidR="006C1D92">
        <w:rPr>
          <w:sz w:val="24"/>
          <w:szCs w:val="24"/>
        </w:rPr>
        <w:t xml:space="preserve"> The dataset includes the distance of the epicentre of the earthquake from each station it was recorded by, of which the closest one is included in this analysis. </w:t>
      </w:r>
      <w:r w:rsidR="00B17FE9">
        <w:rPr>
          <w:sz w:val="24"/>
          <w:szCs w:val="24"/>
        </w:rPr>
        <w:t xml:space="preserve">Each station records </w:t>
      </w:r>
      <w:r w:rsidR="006C1D92">
        <w:rPr>
          <w:sz w:val="24"/>
          <w:szCs w:val="24"/>
        </w:rPr>
        <w:t>seismic movement</w:t>
      </w:r>
      <w:r w:rsidR="00C77187">
        <w:rPr>
          <w:sz w:val="24"/>
          <w:szCs w:val="24"/>
        </w:rPr>
        <w:t xml:space="preserve"> simultaneously</w:t>
      </w:r>
      <w:r w:rsidR="006C1D92">
        <w:rPr>
          <w:sz w:val="24"/>
          <w:szCs w:val="24"/>
        </w:rPr>
        <w:t xml:space="preserve"> through three channels (north-south, east-west and vertical) of which </w:t>
      </w:r>
      <w:r w:rsidR="00C77187">
        <w:rPr>
          <w:sz w:val="24"/>
          <w:szCs w:val="24"/>
        </w:rPr>
        <w:t xml:space="preserve">only </w:t>
      </w:r>
      <w:r w:rsidR="006C1D92">
        <w:rPr>
          <w:sz w:val="24"/>
          <w:szCs w:val="24"/>
        </w:rPr>
        <w:t xml:space="preserve">the vertical component is included in the multidimensional scaling analysis. </w:t>
      </w:r>
      <w:r w:rsidR="00C77187">
        <w:rPr>
          <w:sz w:val="24"/>
          <w:szCs w:val="24"/>
        </w:rPr>
        <w:t xml:space="preserve">The seismogram takes 100 samples per second and the dataset includes one month of data before the earthquake – 31.25 days, or </w:t>
      </w:r>
      <w:r w:rsidR="008C705B">
        <w:rPr>
          <w:sz w:val="24"/>
          <w:szCs w:val="24"/>
        </w:rPr>
        <w:t xml:space="preserve">750 hours, which works out for </w:t>
      </w:r>
      <m:oMath>
        <m:r>
          <w:rPr>
            <w:rFonts w:ascii="Cambria Math" w:hAnsi="Cambria Math"/>
            <w:sz w:val="24"/>
            <w:szCs w:val="24"/>
          </w:rPr>
          <m:t>750*3600*100=270000000</m:t>
        </m:r>
      </m:oMath>
      <w:r w:rsidR="008C705B">
        <w:rPr>
          <w:rFonts w:eastAsiaTheme="minorEastAsia"/>
          <w:sz w:val="24"/>
          <w:szCs w:val="24"/>
        </w:rPr>
        <w:t xml:space="preserve">, that is 270 million total samples. To clear the data from low-frequency background noise </w:t>
      </w:r>
      <w:r w:rsidR="00BB2A1C">
        <w:rPr>
          <w:rFonts w:eastAsiaTheme="minorEastAsia"/>
          <w:sz w:val="24"/>
          <w:szCs w:val="24"/>
        </w:rPr>
        <w:t xml:space="preserve">and signals that are </w:t>
      </w:r>
      <w:r w:rsidR="008C705B">
        <w:rPr>
          <w:rFonts w:eastAsiaTheme="minorEastAsia"/>
          <w:sz w:val="24"/>
          <w:szCs w:val="24"/>
        </w:rPr>
        <w:t xml:space="preserve">likely caused by human and industrial activity, it was </w:t>
      </w:r>
      <w:r w:rsidR="003045E1">
        <w:rPr>
          <w:rFonts w:eastAsiaTheme="minorEastAsia"/>
          <w:sz w:val="24"/>
          <w:szCs w:val="24"/>
        </w:rPr>
        <w:t>fed</w:t>
      </w:r>
      <w:r w:rsidR="008C705B">
        <w:rPr>
          <w:rFonts w:eastAsiaTheme="minorEastAsia"/>
          <w:sz w:val="24"/>
          <w:szCs w:val="24"/>
        </w:rPr>
        <w:t xml:space="preserve"> through a high pass filter </w:t>
      </w:r>
      <w:r w:rsidR="000539BD">
        <w:rPr>
          <w:rFonts w:eastAsiaTheme="minorEastAsia"/>
          <w:sz w:val="24"/>
          <w:szCs w:val="24"/>
        </w:rPr>
        <w:t>that only allo</w:t>
      </w:r>
      <w:r w:rsidR="003045E1">
        <w:rPr>
          <w:rFonts w:eastAsiaTheme="minorEastAsia"/>
          <w:sz w:val="24"/>
          <w:szCs w:val="24"/>
        </w:rPr>
        <w:t xml:space="preserve">ws seismicity higher than </w:t>
      </w:r>
      <w:r w:rsidR="003045E1" w:rsidRPr="003045E1">
        <w:rPr>
          <w:rFonts w:eastAsiaTheme="minorEastAsia"/>
          <w:i/>
          <w:iCs/>
          <w:sz w:val="24"/>
          <w:szCs w:val="24"/>
        </w:rPr>
        <w:t>2 Hz</w:t>
      </w:r>
      <w:r w:rsidR="003045E1">
        <w:rPr>
          <w:rFonts w:eastAsiaTheme="minorEastAsia"/>
          <w:i/>
          <w:iCs/>
          <w:sz w:val="24"/>
          <w:szCs w:val="24"/>
        </w:rPr>
        <w:t xml:space="preserve"> </w:t>
      </w:r>
      <w:r w:rsidR="003045E1">
        <w:rPr>
          <w:rFonts w:eastAsiaTheme="minorEastAsia"/>
          <w:sz w:val="24"/>
          <w:szCs w:val="24"/>
        </w:rPr>
        <w:t>frequency passing through.</w:t>
      </w:r>
    </w:p>
    <w:p w14:paraId="268DCAEA" w14:textId="44273FA7" w:rsidR="00A677F9" w:rsidRDefault="00A677F9" w:rsidP="00533ACF">
      <w:pPr>
        <w:spacing w:line="480" w:lineRule="auto"/>
        <w:jc w:val="both"/>
        <w:rPr>
          <w:rFonts w:eastAsiaTheme="minorEastAsia"/>
          <w:b/>
          <w:bCs/>
          <w:sz w:val="24"/>
          <w:szCs w:val="24"/>
        </w:rPr>
      </w:pPr>
      <w:r>
        <w:rPr>
          <w:rFonts w:eastAsiaTheme="minorEastAsia"/>
          <w:b/>
          <w:bCs/>
          <w:sz w:val="24"/>
          <w:szCs w:val="24"/>
        </w:rPr>
        <w:t xml:space="preserve">Multidimensional </w:t>
      </w:r>
      <w:r w:rsidR="008D34D3">
        <w:rPr>
          <w:rFonts w:eastAsiaTheme="minorEastAsia"/>
          <w:b/>
          <w:bCs/>
          <w:sz w:val="24"/>
          <w:szCs w:val="24"/>
        </w:rPr>
        <w:t>S</w:t>
      </w:r>
      <w:r>
        <w:rPr>
          <w:rFonts w:eastAsiaTheme="minorEastAsia"/>
          <w:b/>
          <w:bCs/>
          <w:sz w:val="24"/>
          <w:szCs w:val="24"/>
        </w:rPr>
        <w:t>caling</w:t>
      </w:r>
    </w:p>
    <w:p w14:paraId="12795ACB" w14:textId="6519647E" w:rsidR="008D34D3" w:rsidRDefault="008D34D3" w:rsidP="00533ACF">
      <w:pPr>
        <w:spacing w:line="480" w:lineRule="auto"/>
        <w:jc w:val="both"/>
        <w:rPr>
          <w:rFonts w:eastAsiaTheme="minorEastAsia"/>
          <w:sz w:val="24"/>
          <w:szCs w:val="24"/>
        </w:rPr>
      </w:pPr>
      <w:r>
        <w:rPr>
          <w:rFonts w:eastAsiaTheme="minorEastAsia"/>
          <w:sz w:val="24"/>
          <w:szCs w:val="24"/>
        </w:rPr>
        <w:t xml:space="preserve">This report utilises multidimensional scaling (MDS) for the analysis of the seismic time-series data obtained from the stations. Rather than building a </w:t>
      </w:r>
      <w:r w:rsidR="00244886">
        <w:rPr>
          <w:rFonts w:eastAsiaTheme="minorEastAsia"/>
          <w:sz w:val="24"/>
          <w:szCs w:val="24"/>
        </w:rPr>
        <w:t xml:space="preserve">direct </w:t>
      </w:r>
      <w:r>
        <w:rPr>
          <w:rFonts w:eastAsiaTheme="minorEastAsia"/>
          <w:sz w:val="24"/>
          <w:szCs w:val="24"/>
        </w:rPr>
        <w:t xml:space="preserve">predictive model like in the case of LSTM or CNN, MDS is used to visually represent high-dimensional data in a </w:t>
      </w:r>
      <w:r>
        <w:rPr>
          <w:rFonts w:eastAsiaTheme="minorEastAsia"/>
          <w:sz w:val="24"/>
          <w:szCs w:val="24"/>
        </w:rPr>
        <w:lastRenderedPageBreak/>
        <w:t>lower-dimensional space – two and three dimensions for practical purposes.</w:t>
      </w:r>
      <w:r w:rsidR="00244886">
        <w:rPr>
          <w:rFonts w:eastAsiaTheme="minorEastAsia"/>
          <w:sz w:val="24"/>
          <w:szCs w:val="24"/>
        </w:rPr>
        <w:t xml:space="preserve"> As defined by </w:t>
      </w:r>
      <w:r w:rsidR="00DC1897">
        <w:rPr>
          <w:rFonts w:eastAsiaTheme="minorEastAsia"/>
          <w:sz w:val="24"/>
          <w:szCs w:val="24"/>
        </w:rPr>
        <w:t>Cliff</w:t>
      </w:r>
      <w:r w:rsidR="00244886">
        <w:rPr>
          <w:rFonts w:eastAsiaTheme="minorEastAsia"/>
          <w:sz w:val="24"/>
          <w:szCs w:val="24"/>
        </w:rPr>
        <w:t xml:space="preserve"> et al:</w:t>
      </w:r>
    </w:p>
    <w:p w14:paraId="2D0886CF" w14:textId="682AE074" w:rsidR="00244886" w:rsidRDefault="00244886" w:rsidP="00533ACF">
      <w:pPr>
        <w:spacing w:line="480" w:lineRule="auto"/>
        <w:jc w:val="both"/>
        <w:rPr>
          <w:i/>
          <w:iCs/>
          <w:sz w:val="24"/>
          <w:szCs w:val="24"/>
        </w:rPr>
      </w:pPr>
      <w:r w:rsidRPr="00244886">
        <w:rPr>
          <w:i/>
          <w:iCs/>
          <w:sz w:val="24"/>
          <w:szCs w:val="24"/>
        </w:rPr>
        <w:t>‘Multidimensional scaling (MDS) refers to a family of statistical methods by which the information contained in a set of data is represented by a set of points in multidimensional space. These points are located in the space in such a way that the geometrical relationships between them reflect empirical relationships in the data.’</w:t>
      </w:r>
      <w:r w:rsidR="00DC1897">
        <w:rPr>
          <w:rStyle w:val="FootnoteReference"/>
          <w:i/>
          <w:iCs/>
          <w:sz w:val="24"/>
          <w:szCs w:val="24"/>
        </w:rPr>
        <w:footnoteReference w:id="17"/>
      </w:r>
    </w:p>
    <w:p w14:paraId="67929FC8" w14:textId="099FD702" w:rsidR="00244886" w:rsidRDefault="00244886" w:rsidP="00533ACF">
      <w:pPr>
        <w:spacing w:line="480" w:lineRule="auto"/>
        <w:jc w:val="both"/>
        <w:rPr>
          <w:sz w:val="24"/>
          <w:szCs w:val="24"/>
        </w:rPr>
      </w:pPr>
      <w:r>
        <w:rPr>
          <w:sz w:val="24"/>
          <w:szCs w:val="24"/>
        </w:rPr>
        <w:t xml:space="preserve">With its mathematical </w:t>
      </w:r>
      <w:r w:rsidR="00DC1897">
        <w:rPr>
          <w:sz w:val="24"/>
          <w:szCs w:val="24"/>
        </w:rPr>
        <w:t>foundations</w:t>
      </w:r>
      <w:r>
        <w:rPr>
          <w:sz w:val="24"/>
          <w:szCs w:val="24"/>
        </w:rPr>
        <w:t xml:space="preserve"> being laid in the 1930s</w:t>
      </w:r>
      <w:r w:rsidR="00DC1897">
        <w:rPr>
          <w:sz w:val="24"/>
          <w:szCs w:val="24"/>
        </w:rPr>
        <w:t>,</w:t>
      </w:r>
      <w:r w:rsidR="00DC1897">
        <w:rPr>
          <w:rStyle w:val="FootnoteReference"/>
          <w:sz w:val="24"/>
          <w:szCs w:val="24"/>
        </w:rPr>
        <w:footnoteReference w:id="18"/>
      </w:r>
      <w:r w:rsidR="00DC1897">
        <w:rPr>
          <w:sz w:val="24"/>
          <w:szCs w:val="24"/>
        </w:rPr>
        <w:t xml:space="preserve"> MDS was principally developed for the purposes of </w:t>
      </w:r>
      <w:r w:rsidR="00DC1897">
        <w:rPr>
          <w:i/>
          <w:iCs/>
          <w:sz w:val="24"/>
          <w:szCs w:val="24"/>
        </w:rPr>
        <w:t xml:space="preserve">dimension reduction </w:t>
      </w:r>
      <w:r w:rsidR="00DC1897">
        <w:rPr>
          <w:sz w:val="24"/>
          <w:szCs w:val="24"/>
        </w:rPr>
        <w:t>of high-dimensional data – i.e. datasets with a high number of variables – and has often been used in the field or the social sciences, archaeology, and general classification problems.</w:t>
      </w:r>
      <w:r w:rsidR="00DC1897">
        <w:rPr>
          <w:rStyle w:val="FootnoteReference"/>
          <w:sz w:val="24"/>
          <w:szCs w:val="24"/>
        </w:rPr>
        <w:footnoteReference w:id="19"/>
      </w:r>
    </w:p>
    <w:p w14:paraId="7322EA01" w14:textId="70CDA040" w:rsidR="005607F5" w:rsidRDefault="00105B9A" w:rsidP="00533ACF">
      <w:pPr>
        <w:spacing w:line="480" w:lineRule="auto"/>
        <w:jc w:val="both"/>
        <w:rPr>
          <w:rFonts w:eastAsiaTheme="minorEastAsia"/>
          <w:sz w:val="24"/>
          <w:szCs w:val="24"/>
        </w:rPr>
      </w:pPr>
      <w:r>
        <w:rPr>
          <w:sz w:val="24"/>
          <w:szCs w:val="24"/>
        </w:rPr>
        <w:t>As laid out by Buja et al. following the theoretical work of Kruskal,</w:t>
      </w:r>
      <w:r>
        <w:rPr>
          <w:rStyle w:val="FootnoteReference"/>
          <w:sz w:val="24"/>
          <w:szCs w:val="24"/>
        </w:rPr>
        <w:footnoteReference w:id="20"/>
      </w:r>
      <w:r>
        <w:rPr>
          <w:sz w:val="24"/>
          <w:szCs w:val="24"/>
          <w:vertAlign w:val="superscript"/>
        </w:rPr>
        <w:t>,</w:t>
      </w:r>
      <w:r>
        <w:rPr>
          <w:rStyle w:val="FootnoteReference"/>
          <w:sz w:val="24"/>
          <w:szCs w:val="24"/>
        </w:rPr>
        <w:footnoteReference w:id="21"/>
      </w:r>
      <w:r w:rsidR="002D73B8">
        <w:rPr>
          <w:sz w:val="24"/>
          <w:szCs w:val="24"/>
          <w:vertAlign w:val="superscript"/>
        </w:rPr>
        <w:t>,</w:t>
      </w:r>
      <w:r w:rsidR="002D73B8">
        <w:rPr>
          <w:rStyle w:val="FootnoteReference"/>
          <w:sz w:val="24"/>
          <w:szCs w:val="24"/>
        </w:rPr>
        <w:footnoteReference w:id="22"/>
      </w:r>
      <w:r w:rsidR="002D73B8">
        <w:rPr>
          <w:sz w:val="24"/>
          <w:szCs w:val="24"/>
        </w:rPr>
        <w:t xml:space="preserve"> MDS takes objects labelled </w:t>
      </w:r>
      <m:oMath>
        <m:r>
          <w:rPr>
            <w:rFonts w:ascii="Cambria Math" w:hAnsi="Cambria Math"/>
            <w:sz w:val="24"/>
            <w:szCs w:val="24"/>
          </w:rPr>
          <m:t>i=1, …,N</m:t>
        </m:r>
      </m:oMath>
      <w:r w:rsidR="002D73B8">
        <w:rPr>
          <w:rFonts w:eastAsiaTheme="minorEastAsia"/>
          <w:sz w:val="24"/>
          <w:szCs w:val="24"/>
        </w:rPr>
        <w:t xml:space="preserve"> </w:t>
      </w:r>
      <w:r w:rsidR="00160EAE">
        <w:rPr>
          <w:rFonts w:eastAsiaTheme="minorEastAsia"/>
          <w:sz w:val="24"/>
          <w:szCs w:val="24"/>
        </w:rPr>
        <w:t xml:space="preserve">of M dimensions </w:t>
      </w:r>
      <w:r w:rsidR="002D73B8">
        <w:rPr>
          <w:rFonts w:eastAsiaTheme="minorEastAsia"/>
          <w:sz w:val="24"/>
          <w:szCs w:val="24"/>
        </w:rPr>
        <w:t>with pairwise distances (</w:t>
      </w:r>
      <w:r w:rsidR="002D73B8" w:rsidRPr="002D73B8">
        <w:rPr>
          <w:rFonts w:eastAsiaTheme="minorEastAsia"/>
          <w:i/>
          <w:iCs/>
          <w:sz w:val="24"/>
          <w:szCs w:val="24"/>
        </w:rPr>
        <w:t>dissimilarity values</w:t>
      </w:r>
      <w:r w:rsidR="002D73B8">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i,j</m:t>
            </m:r>
          </m:sub>
        </m:sSub>
      </m:oMath>
      <w:r w:rsidR="002D73B8">
        <w:rPr>
          <w:rFonts w:eastAsiaTheme="minorEastAsia"/>
          <w:sz w:val="24"/>
          <w:szCs w:val="24"/>
        </w:rPr>
        <w:t xml:space="preserve"> and maps the objects to embedding points</w:t>
      </w:r>
      <w:r w:rsidR="002D73B8" w:rsidRPr="001A1723">
        <w:rPr>
          <w:rFonts w:eastAsiaTheme="minorEastAsia"/>
          <w:sz w:val="24"/>
          <w:szCs w:val="24"/>
        </w:rPr>
        <w:t xml:space="preserve"> </w:t>
      </w:r>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1</m:t>
            </m:r>
          </m:sub>
        </m:sSub>
        <m:r>
          <m:rPr>
            <m:sty m:val="bi"/>
          </m:rP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 xml:space="preserve">N  </m:t>
            </m:r>
          </m:sub>
        </m:sSub>
        <m:r>
          <w:rPr>
            <w:rFonts w:ascii="Cambria Math" w:eastAsiaTheme="minorEastAsia" w:hAnsi="Cambria Math"/>
            <w:sz w:val="24"/>
            <w:szCs w:val="24"/>
          </w:rPr>
          <m:t>ϵ</m:t>
        </m:r>
        <m:r>
          <m:rPr>
            <m:sty m:val="bi"/>
          </m:rPr>
          <w:rPr>
            <w:rFonts w:ascii="Cambria Math" w:eastAsiaTheme="minorEastAsia" w:hAnsi="Cambria Math"/>
            <w:sz w:val="24"/>
            <w:szCs w:val="24"/>
          </w:rPr>
          <m:t xml:space="preserve"> </m:t>
        </m:r>
        <m:sSup>
          <m:sSupPr>
            <m:ctrlPr>
              <w:rPr>
                <w:rFonts w:ascii="Cambria Math" w:eastAsiaTheme="minorEastAsia" w:hAnsi="Cambria Math"/>
                <w:b/>
                <w:bCs/>
                <w:i/>
                <w:sz w:val="24"/>
                <w:szCs w:val="24"/>
              </w:rPr>
            </m:ctrlPr>
          </m:sSupPr>
          <m:e>
            <m:r>
              <m:rPr>
                <m:scr m:val="double-struck"/>
                <m:sty m:val="bi"/>
              </m:rPr>
              <w:rPr>
                <w:rFonts w:ascii="Cambria Math" w:eastAsiaTheme="minorEastAsia" w:hAnsi="Cambria Math"/>
                <w:sz w:val="24"/>
                <w:szCs w:val="24"/>
              </w:rPr>
              <m:t>R</m:t>
            </m:r>
          </m:e>
          <m:sup>
            <m:r>
              <m:rPr>
                <m:sty m:val="bi"/>
              </m:rPr>
              <w:rPr>
                <w:rFonts w:ascii="Cambria Math" w:eastAsiaTheme="minorEastAsia" w:hAnsi="Cambria Math"/>
                <w:sz w:val="24"/>
                <w:szCs w:val="24"/>
              </w:rPr>
              <m:t>k</m:t>
            </m:r>
          </m:sup>
        </m:sSup>
      </m:oMath>
      <w:r w:rsidR="001A1723">
        <w:rPr>
          <w:rFonts w:eastAsiaTheme="minorEastAsia"/>
          <w:b/>
          <w:bCs/>
          <w:sz w:val="24"/>
          <w:szCs w:val="24"/>
        </w:rPr>
        <w:t xml:space="preserve"> </w:t>
      </w:r>
      <w:r w:rsidR="001A1723">
        <w:rPr>
          <w:rFonts w:eastAsiaTheme="minorEastAsia"/>
          <w:sz w:val="24"/>
          <w:szCs w:val="24"/>
        </w:rPr>
        <w:t xml:space="preserve">such that given dissimilarities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i,j</m:t>
            </m:r>
          </m:sub>
        </m:sSub>
      </m:oMath>
      <w:r w:rsidR="001A1723">
        <w:rPr>
          <w:rFonts w:eastAsiaTheme="minorEastAsia"/>
          <w:sz w:val="24"/>
          <w:szCs w:val="24"/>
        </w:rPr>
        <w:t xml:space="preserve"> are well-approximated by the distances </w:t>
      </w:r>
      <m:oMath>
        <m:d>
          <m:dPr>
            <m:begChr m:val="‖"/>
            <m:endChr m:val="‖"/>
            <m:ctrlPr>
              <w:rPr>
                <w:rFonts w:ascii="Cambria Math" w:eastAsiaTheme="minorEastAsia" w:hAnsi="Cambria Math"/>
                <w:i/>
                <w:sz w:val="24"/>
                <w:szCs w:val="24"/>
              </w:rPr>
            </m:ctrlPr>
          </m:dPr>
          <m:e>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j</m:t>
                </m:r>
              </m:sub>
            </m:sSub>
          </m:e>
        </m:d>
      </m:oMath>
      <w:r w:rsidR="001A1723">
        <w:rPr>
          <w:rFonts w:eastAsiaTheme="minorEastAsia"/>
          <w:sz w:val="24"/>
          <w:szCs w:val="24"/>
        </w:rPr>
        <w:t>.</w:t>
      </w:r>
      <w:r w:rsidR="00F7402F">
        <w:rPr>
          <w:rFonts w:eastAsiaTheme="minorEastAsia"/>
          <w:sz w:val="24"/>
          <w:szCs w:val="24"/>
        </w:rPr>
        <w:t xml:space="preserve"> While the number of new dimensions, </w:t>
      </w:r>
      <m:oMath>
        <m:r>
          <w:rPr>
            <w:rFonts w:ascii="Cambria Math" w:eastAsiaTheme="minorEastAsia" w:hAnsi="Cambria Math"/>
            <w:sz w:val="24"/>
            <w:szCs w:val="24"/>
          </w:rPr>
          <m:t>k</m:t>
        </m:r>
      </m:oMath>
      <w:r w:rsidR="00F7402F">
        <w:rPr>
          <w:rFonts w:eastAsiaTheme="minorEastAsia"/>
          <w:sz w:val="24"/>
          <w:szCs w:val="24"/>
        </w:rPr>
        <w:t xml:space="preserve">, may take any value smaller than the original dimension of the objects, in practice </w:t>
      </w:r>
      <m:oMath>
        <m:r>
          <w:rPr>
            <w:rFonts w:ascii="Cambria Math" w:eastAsiaTheme="minorEastAsia" w:hAnsi="Cambria Math"/>
            <w:sz w:val="24"/>
            <w:szCs w:val="24"/>
          </w:rPr>
          <m:t>k=1, 2, or 3</m:t>
        </m:r>
      </m:oMath>
      <w:r w:rsidR="00F7402F">
        <w:rPr>
          <w:rFonts w:eastAsiaTheme="minorEastAsia"/>
          <w:sz w:val="24"/>
          <w:szCs w:val="24"/>
        </w:rPr>
        <w:t xml:space="preserve"> in most cases, to facilitate the visual representation of the embedding points.</w:t>
      </w:r>
      <w:r w:rsidR="00F81952">
        <w:rPr>
          <w:rFonts w:eastAsiaTheme="minorEastAsia"/>
          <w:sz w:val="24"/>
          <w:szCs w:val="24"/>
        </w:rPr>
        <w:t xml:space="preserve"> For an M dimensional dataset, the original pairwise distances </w:t>
      </w:r>
      <w:r w:rsidR="00F81952">
        <w:rPr>
          <w:rFonts w:eastAsiaTheme="minorEastAsia"/>
          <w:sz w:val="24"/>
          <w:szCs w:val="24"/>
        </w:rPr>
        <w:lastRenderedPageBreak/>
        <w:t xml:space="preserve">between objects </w:t>
      </w:r>
      <m:oMath>
        <m:r>
          <w:rPr>
            <w:rFonts w:ascii="Cambria Math" w:eastAsiaTheme="minorEastAsia" w:hAnsi="Cambria Math"/>
            <w:sz w:val="24"/>
            <w:szCs w:val="24"/>
          </w:rPr>
          <m:t>(x,y)</m:t>
        </m:r>
      </m:oMath>
      <w:r w:rsidR="00F81952">
        <w:rPr>
          <w:rFonts w:eastAsiaTheme="minorEastAsia"/>
          <w:sz w:val="24"/>
          <w:szCs w:val="24"/>
        </w:rPr>
        <w:t xml:space="preserve"> can be given by Euclidean distances </w:t>
      </w:r>
      <m:oMath>
        <m:r>
          <w:rPr>
            <w:rFonts w:ascii="Cambria Math" w:eastAsiaTheme="minorEastAsia" w:hAnsi="Cambria Math"/>
            <w:sz w:val="24"/>
            <w:szCs w:val="24"/>
          </w:rPr>
          <m:t>d</m:t>
        </m:r>
        <m:d>
          <m:dPr>
            <m:ctrlPr>
              <w:rPr>
                <w:rFonts w:ascii="Cambria Math" w:eastAsiaTheme="minorEastAsia" w:hAnsi="Cambria Math"/>
                <w:i/>
                <w:sz w:val="24"/>
                <w:szCs w:val="24"/>
              </w:rPr>
            </m:ctrlPr>
          </m:dPr>
          <m:e>
            <m:r>
              <w:rPr>
                <w:rFonts w:ascii="Cambria Math" w:eastAsiaTheme="minorEastAsia" w:hAnsi="Cambria Math"/>
                <w:sz w:val="24"/>
                <w:szCs w:val="24"/>
              </w:rPr>
              <m:t>a,b</m:t>
            </m:r>
          </m:e>
        </m:d>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nary>
              <m:naryPr>
                <m:chr m:val="∑"/>
                <m:limLoc m:val="undOvr"/>
                <m:ctrlPr>
                  <w:rPr>
                    <w:rFonts w:ascii="Cambria Math" w:eastAsiaTheme="minorEastAsia" w:hAnsi="Cambria Math"/>
                    <w:i/>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M</m:t>
                </m:r>
              </m:sup>
              <m:e>
                <m:sSup>
                  <m:sSupPr>
                    <m:ctrlPr>
                      <w:rPr>
                        <w:rFonts w:ascii="Cambria Math" w:eastAsiaTheme="minorEastAsia" w:hAnsi="Cambria Math"/>
                        <w:i/>
                        <w:sz w:val="24"/>
                        <w:szCs w:val="24"/>
                      </w:rPr>
                    </m:ctrlPr>
                  </m:sSupPr>
                  <m:e>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i</m:t>
                        </m:r>
                      </m:sub>
                    </m:sSub>
                    <m:r>
                      <w:rPr>
                        <w:rFonts w:ascii="Cambria Math" w:eastAsiaTheme="minorEastAsia" w:hAnsi="Cambria Math"/>
                        <w:sz w:val="24"/>
                        <w:szCs w:val="24"/>
                      </w:rPr>
                      <m:t>)</m:t>
                    </m:r>
                  </m:e>
                  <m:sup>
                    <m:r>
                      <w:rPr>
                        <w:rFonts w:ascii="Cambria Math" w:eastAsiaTheme="minorEastAsia" w:hAnsi="Cambria Math"/>
                        <w:sz w:val="24"/>
                        <w:szCs w:val="24"/>
                      </w:rPr>
                      <m:t>2</m:t>
                    </m:r>
                  </m:sup>
                </m:sSup>
              </m:e>
            </m:nary>
          </m:e>
        </m:rad>
      </m:oMath>
      <w:r w:rsidR="00EE4E28">
        <w:rPr>
          <w:rFonts w:eastAsiaTheme="minorEastAsia"/>
          <w:sz w:val="24"/>
          <w:szCs w:val="24"/>
        </w:rPr>
        <w:t xml:space="preserve">, however, for higher dimensional data, such as a seismic time-series dataset, Manhattan distances </w:t>
      </w:r>
      <m:oMath>
        <m:r>
          <w:rPr>
            <w:rFonts w:ascii="Cambria Math" w:eastAsiaTheme="minorEastAsia" w:hAnsi="Cambria Math"/>
            <w:sz w:val="24"/>
            <w:szCs w:val="24"/>
          </w:rPr>
          <m:t>d</m:t>
        </m:r>
        <m:d>
          <m:dPr>
            <m:ctrlPr>
              <w:rPr>
                <w:rFonts w:ascii="Cambria Math" w:eastAsiaTheme="minorEastAsia" w:hAnsi="Cambria Math"/>
                <w:i/>
                <w:sz w:val="24"/>
                <w:szCs w:val="24"/>
              </w:rPr>
            </m:ctrlPr>
          </m:dPr>
          <m:e>
            <m:r>
              <w:rPr>
                <w:rFonts w:ascii="Cambria Math" w:eastAsiaTheme="minorEastAsia" w:hAnsi="Cambria Math"/>
                <w:sz w:val="24"/>
                <w:szCs w:val="24"/>
              </w:rPr>
              <m:t>a,b</m:t>
            </m:r>
          </m:e>
        </m:d>
        <m:r>
          <w:rPr>
            <w:rFonts w:ascii="Cambria Math" w:eastAsiaTheme="minorEastAsia" w:hAnsi="Cambria Math"/>
            <w:sz w:val="24"/>
            <w:szCs w:val="24"/>
          </w:rPr>
          <m:t>=</m:t>
        </m:r>
        <m:nary>
          <m:naryPr>
            <m:chr m:val="∑"/>
            <m:limLoc m:val="undOvr"/>
            <m:ctrlPr>
              <w:rPr>
                <w:rFonts w:ascii="Cambria Math" w:eastAsiaTheme="minorEastAsia" w:hAnsi="Cambria Math"/>
                <w:i/>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M</m:t>
            </m:r>
          </m:sup>
          <m:e>
            <m:d>
              <m:dPr>
                <m:begChr m:val="|"/>
                <m:endChr m:val="|"/>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i</m:t>
                    </m:r>
                  </m:sub>
                </m:sSub>
              </m:e>
            </m:d>
          </m:e>
        </m:nary>
      </m:oMath>
      <w:r w:rsidR="0088327D">
        <w:rPr>
          <w:rFonts w:eastAsiaTheme="minorEastAsia"/>
          <w:sz w:val="24"/>
          <w:szCs w:val="24"/>
        </w:rPr>
        <w:t xml:space="preserve"> are better operationalizable and it is therefore </w:t>
      </w:r>
      <w:r w:rsidR="00B8082C">
        <w:rPr>
          <w:rFonts w:eastAsiaTheme="minorEastAsia"/>
          <w:sz w:val="24"/>
          <w:szCs w:val="24"/>
        </w:rPr>
        <w:t>the</w:t>
      </w:r>
      <w:r w:rsidR="0088327D">
        <w:rPr>
          <w:rFonts w:eastAsiaTheme="minorEastAsia"/>
          <w:sz w:val="24"/>
          <w:szCs w:val="24"/>
        </w:rPr>
        <w:t xml:space="preserve"> preferred method</w:t>
      </w:r>
      <w:r w:rsidR="00B8082C">
        <w:rPr>
          <w:rFonts w:eastAsiaTheme="minorEastAsia"/>
          <w:sz w:val="24"/>
          <w:szCs w:val="24"/>
        </w:rPr>
        <w:t xml:space="preserve"> for this paper</w:t>
      </w:r>
      <w:r w:rsidR="0088327D">
        <w:rPr>
          <w:rFonts w:eastAsiaTheme="minorEastAsia"/>
          <w:sz w:val="24"/>
          <w:szCs w:val="24"/>
        </w:rPr>
        <w:t xml:space="preserve">. </w:t>
      </w:r>
      <w:r w:rsidR="00160EAE">
        <w:rPr>
          <w:rFonts w:eastAsiaTheme="minorEastAsia"/>
          <w:sz w:val="24"/>
          <w:szCs w:val="24"/>
        </w:rPr>
        <w:t xml:space="preserve">From the obtained original Manhattan distances a </w:t>
      </w:r>
      <w:r w:rsidR="002456C8">
        <w:rPr>
          <w:rFonts w:eastAsiaTheme="minorEastAsia"/>
          <w:sz w:val="24"/>
          <w:szCs w:val="24"/>
        </w:rPr>
        <w:t>dissimilarity</w:t>
      </w:r>
      <w:r w:rsidR="00160EAE">
        <w:rPr>
          <w:rFonts w:eastAsiaTheme="minorEastAsia"/>
          <w:sz w:val="24"/>
          <w:szCs w:val="24"/>
        </w:rPr>
        <w:t xml:space="preserve"> matrix </w:t>
      </w:r>
      <m:oMath>
        <m:r>
          <w:rPr>
            <w:rFonts w:ascii="Cambria Math" w:eastAsiaTheme="minorEastAsia" w:hAnsi="Cambria Math"/>
            <w:sz w:val="24"/>
            <w:szCs w:val="24"/>
          </w:rPr>
          <m:t>(D)</m:t>
        </m:r>
      </m:oMath>
      <w:r w:rsidR="00160EAE">
        <w:rPr>
          <w:rFonts w:eastAsiaTheme="minorEastAsia"/>
          <w:sz w:val="24"/>
          <w:szCs w:val="24"/>
        </w:rPr>
        <w:t xml:space="preserve"> is created which then can be mapped in an arbitrary number of dimensions.</w:t>
      </w:r>
    </w:p>
    <w:p w14:paraId="4F9D1369" w14:textId="77777777" w:rsidR="002456C8" w:rsidRDefault="002456C8" w:rsidP="002456C8">
      <w:pPr>
        <w:keepNext/>
        <w:spacing w:line="240" w:lineRule="auto"/>
        <w:jc w:val="center"/>
      </w:pPr>
      <w:r w:rsidRPr="002456C8">
        <w:rPr>
          <w:rFonts w:eastAsiaTheme="minorEastAsia"/>
          <w:noProof/>
          <w:sz w:val="24"/>
          <w:szCs w:val="24"/>
        </w:rPr>
        <w:drawing>
          <wp:inline distT="0" distB="0" distL="0" distR="0" wp14:anchorId="26C935BF" wp14:editId="76C7937D">
            <wp:extent cx="4387850" cy="3447113"/>
            <wp:effectExtent l="133350" t="114300" r="127000" b="172720"/>
            <wp:docPr id="1510912628" name="Picture 1" descr="A diagram of a triangle and a triangle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12628" name="Picture 1" descr="A diagram of a triangle and a triangle with numbers&#10;&#10;Description automatically generated"/>
                    <pic:cNvPicPr/>
                  </pic:nvPicPr>
                  <pic:blipFill>
                    <a:blip r:embed="rId10"/>
                    <a:stretch>
                      <a:fillRect/>
                    </a:stretch>
                  </pic:blipFill>
                  <pic:spPr>
                    <a:xfrm>
                      <a:off x="0" y="0"/>
                      <a:ext cx="4403970" cy="34597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55045F" w14:textId="31B59582" w:rsidR="002456C8" w:rsidRDefault="002456C8" w:rsidP="002456C8">
      <w:pPr>
        <w:pStyle w:val="Caption"/>
        <w:jc w:val="center"/>
        <w:rPr>
          <w:rFonts w:eastAsiaTheme="minorEastAsia"/>
          <w:sz w:val="22"/>
          <w:szCs w:val="22"/>
        </w:rPr>
      </w:pPr>
      <w:r w:rsidRPr="002456C8">
        <w:rPr>
          <w:rFonts w:eastAsiaTheme="minorEastAsia"/>
          <w:sz w:val="22"/>
          <w:szCs w:val="22"/>
        </w:rPr>
        <w:t>Figure 3: Simple dissimilarity matrices and their optimal 2-dimensional scaling solutions in Buja et al. (2008: 446)</w:t>
      </w:r>
    </w:p>
    <w:p w14:paraId="5C8D873D" w14:textId="15B6B746" w:rsidR="00A032A0" w:rsidRDefault="00D12601" w:rsidP="002456C8">
      <w:pPr>
        <w:spacing w:line="480" w:lineRule="auto"/>
        <w:jc w:val="both"/>
        <w:rPr>
          <w:rFonts w:eastAsiaTheme="minorEastAsia"/>
          <w:sz w:val="24"/>
          <w:szCs w:val="24"/>
        </w:rPr>
      </w:pPr>
      <w:r>
        <w:rPr>
          <w:sz w:val="24"/>
          <w:szCs w:val="24"/>
        </w:rPr>
        <w:t xml:space="preserve">MDS is defined in terms of the minimization of the ‘stress’ </w:t>
      </w:r>
      <m:oMath>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 xml:space="preserve"> </m:t>
        </m:r>
      </m:oMath>
      <w:r>
        <w:rPr>
          <w:sz w:val="24"/>
          <w:szCs w:val="24"/>
        </w:rPr>
        <w:t>loss function defined as a measure of lack of fit</w:t>
      </w:r>
      <w:r w:rsidR="00A032A0">
        <w:rPr>
          <w:sz w:val="24"/>
          <w:szCs w:val="24"/>
        </w:rPr>
        <w:t xml:space="preserve">, </w:t>
      </w:r>
      <w:r>
        <w:rPr>
          <w:sz w:val="24"/>
          <w:szCs w:val="24"/>
        </w:rPr>
        <w:t xml:space="preserve">between original dissimilarities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oMath>
      <w:r>
        <w:rPr>
          <w:rFonts w:eastAsiaTheme="minorEastAsia"/>
          <w:sz w:val="24"/>
          <w:szCs w:val="24"/>
        </w:rPr>
        <w:t xml:space="preserve"> and fitted distances </w:t>
      </w:r>
      <m:oMath>
        <m:d>
          <m:dPr>
            <m:begChr m:val="‖"/>
            <m:endChr m:val="‖"/>
            <m:ctrlPr>
              <w:rPr>
                <w:rFonts w:ascii="Cambria Math" w:eastAsiaTheme="minorEastAsia" w:hAnsi="Cambria Math"/>
                <w:i/>
                <w:sz w:val="24"/>
                <w:szCs w:val="24"/>
              </w:rPr>
            </m:ctrlPr>
          </m:dPr>
          <m:e>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j</m:t>
                </m:r>
              </m:sub>
            </m:sSub>
          </m:e>
        </m:d>
      </m:oMath>
      <w:r w:rsidRPr="00D12601">
        <w:rPr>
          <w:rFonts w:eastAsiaTheme="minorEastAsia"/>
          <w:sz w:val="24"/>
          <w:szCs w:val="24"/>
        </w:rPr>
        <w:t>.</w:t>
      </w:r>
      <w:r w:rsidR="00A032A0">
        <w:rPr>
          <w:rStyle w:val="FootnoteReference"/>
          <w:rFonts w:eastAsiaTheme="minorEastAsia"/>
          <w:sz w:val="24"/>
          <w:szCs w:val="24"/>
        </w:rPr>
        <w:footnoteReference w:id="23"/>
      </w:r>
      <w:r w:rsidR="00A032A0">
        <w:rPr>
          <w:rFonts w:eastAsiaTheme="minorEastAsia"/>
          <w:sz w:val="24"/>
          <w:szCs w:val="24"/>
        </w:rPr>
        <w:t xml:space="preserve"> Stress can be expressed as a residual sum of squares: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D</m:t>
            </m:r>
          </m:sub>
        </m:sSub>
        <m:d>
          <m:dPr>
            <m:ctrlPr>
              <w:rPr>
                <w:rFonts w:ascii="Cambria Math" w:eastAsiaTheme="minorEastAsia" w:hAnsi="Cambria Math"/>
                <w:i/>
                <w:sz w:val="24"/>
                <w:szCs w:val="24"/>
              </w:rPr>
            </m:ctrlPr>
          </m:dPr>
          <m:e>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1</m:t>
                </m:r>
              </m:sub>
            </m:sSub>
            <m:r>
              <w:rPr>
                <w:rFonts w:ascii="Cambria Math" w:eastAsiaTheme="minorEastAsia" w:hAnsi="Cambria Math"/>
                <w:sz w:val="24"/>
                <w:szCs w:val="24"/>
              </w:rPr>
              <m:t xml:space="preserve">,…, </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N</m:t>
                </m:r>
              </m:sub>
            </m:sSub>
          </m:e>
        </m:d>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nary>
              <m:naryPr>
                <m:chr m:val="∑"/>
                <m:limLoc m:val="undOvr"/>
                <m:ctrlPr>
                  <w:rPr>
                    <w:rFonts w:ascii="Cambria Math" w:eastAsiaTheme="minorEastAsia" w:hAnsi="Cambria Math"/>
                    <w:i/>
                    <w:sz w:val="24"/>
                    <w:szCs w:val="24"/>
                  </w:rPr>
                </m:ctrlPr>
              </m:naryPr>
              <m:sub>
                <m:r>
                  <w:rPr>
                    <w:rFonts w:ascii="Cambria Math" w:eastAsiaTheme="minorEastAsia" w:hAnsi="Cambria Math"/>
                    <w:sz w:val="24"/>
                    <w:szCs w:val="24"/>
                  </w:rPr>
                  <m:t>i≠j=1</m:t>
                </m:r>
              </m:sub>
              <m:sup>
                <m:r>
                  <w:rPr>
                    <w:rFonts w:ascii="Cambria Math" w:eastAsiaTheme="minorEastAsia" w:hAnsi="Cambria Math"/>
                    <w:sz w:val="24"/>
                    <w:szCs w:val="24"/>
                  </w:rPr>
                  <m:t>N</m:t>
                </m:r>
              </m:sup>
              <m:e>
                <m:sSup>
                  <m:sSupPr>
                    <m:ctrlPr>
                      <w:rPr>
                        <w:rFonts w:ascii="Cambria Math" w:eastAsiaTheme="minorEastAsia" w:hAnsi="Cambria Math"/>
                        <w:i/>
                        <w:sz w:val="24"/>
                        <w:szCs w:val="24"/>
                      </w:rPr>
                    </m:ctrlPr>
                  </m:sSupPr>
                  <m:e>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i,j</m:t>
                        </m:r>
                      </m:sub>
                    </m:sSub>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j</m:t>
                            </m:r>
                          </m:sub>
                        </m:sSub>
                      </m:e>
                    </m:d>
                    <m:r>
                      <w:rPr>
                        <w:rFonts w:ascii="Cambria Math" w:eastAsiaTheme="minorEastAsia" w:hAnsi="Cambria Math"/>
                        <w:sz w:val="24"/>
                        <w:szCs w:val="24"/>
                      </w:rPr>
                      <m:t>)</m:t>
                    </m:r>
                  </m:e>
                  <m:sup>
                    <m:r>
                      <w:rPr>
                        <w:rFonts w:ascii="Cambria Math" w:eastAsiaTheme="minorEastAsia" w:hAnsi="Cambria Math"/>
                        <w:sz w:val="24"/>
                        <w:szCs w:val="24"/>
                      </w:rPr>
                      <m:t>2</m:t>
                    </m:r>
                  </m:sup>
                </m:sSup>
              </m:e>
            </m:nary>
          </m:e>
        </m:rad>
      </m:oMath>
      <w:r w:rsidR="000626F5">
        <w:rPr>
          <w:rFonts w:eastAsiaTheme="minorEastAsia"/>
          <w:sz w:val="24"/>
          <w:szCs w:val="24"/>
        </w:rPr>
        <w:t xml:space="preserve">. Lower values of </w:t>
      </w:r>
      <m:oMath>
        <m:r>
          <w:rPr>
            <w:rFonts w:ascii="Cambria Math" w:eastAsiaTheme="minorEastAsia" w:hAnsi="Cambria Math"/>
            <w:sz w:val="24"/>
            <w:szCs w:val="24"/>
          </w:rPr>
          <m:t>S</m:t>
        </m:r>
      </m:oMath>
      <w:r w:rsidR="000626F5">
        <w:rPr>
          <w:rFonts w:eastAsiaTheme="minorEastAsia"/>
          <w:sz w:val="24"/>
          <w:szCs w:val="24"/>
        </w:rPr>
        <w:t xml:space="preserve"> mean that the original dissimilarities are </w:t>
      </w:r>
      <w:r w:rsidR="000626F5">
        <w:rPr>
          <w:rFonts w:eastAsiaTheme="minorEastAsia"/>
          <w:sz w:val="24"/>
          <w:szCs w:val="24"/>
        </w:rPr>
        <w:lastRenderedPageBreak/>
        <w:t xml:space="preserve">accurately represented in the new lower-dimensional space. </w:t>
      </w:r>
      <w:r w:rsidR="00927EDD">
        <w:rPr>
          <w:rFonts w:eastAsiaTheme="minorEastAsia"/>
          <w:sz w:val="24"/>
          <w:szCs w:val="24"/>
        </w:rPr>
        <w:t xml:space="preserve">As a goodness-of-fit statistic, it is generally observed that stress increases as </w:t>
      </w:r>
      <m:oMath>
        <m:r>
          <w:rPr>
            <w:rFonts w:ascii="Cambria Math" w:eastAsiaTheme="minorEastAsia" w:hAnsi="Cambria Math"/>
            <w:sz w:val="24"/>
            <w:szCs w:val="24"/>
          </w:rPr>
          <m:t>k</m:t>
        </m:r>
      </m:oMath>
      <w:r w:rsidR="00927EDD">
        <w:rPr>
          <w:rFonts w:eastAsiaTheme="minorEastAsia"/>
          <w:sz w:val="24"/>
          <w:szCs w:val="24"/>
        </w:rPr>
        <w:t>, the number of new dimensions decreases as it is increasingly difficult to preserve the original dissimilarities in a lower dimensional space. Figure</w:t>
      </w:r>
      <w:r w:rsidR="006760D5">
        <w:rPr>
          <w:rFonts w:eastAsiaTheme="minorEastAsia"/>
          <w:sz w:val="24"/>
          <w:szCs w:val="24"/>
        </w:rPr>
        <w:t xml:space="preserve"> 4 shows one of Kruskal’s original scree plots representing that relationship, with distinct ‘elbow’ after 3 dimensions meaning that for new dimension values </w:t>
      </w:r>
      <m:oMath>
        <m:r>
          <w:rPr>
            <w:rFonts w:ascii="Cambria Math" w:eastAsiaTheme="minorEastAsia" w:hAnsi="Cambria Math"/>
            <w:sz w:val="24"/>
            <w:szCs w:val="24"/>
          </w:rPr>
          <m:t>k≥4</m:t>
        </m:r>
      </m:oMath>
      <w:r w:rsidR="006760D5">
        <w:rPr>
          <w:rFonts w:eastAsiaTheme="minorEastAsia"/>
          <w:sz w:val="24"/>
          <w:szCs w:val="24"/>
        </w:rPr>
        <w:t xml:space="preserve"> stress does not decrease significantly</w:t>
      </w:r>
      <w:r w:rsidR="009F1F8F">
        <w:rPr>
          <w:rFonts w:eastAsiaTheme="minorEastAsia"/>
          <w:sz w:val="24"/>
          <w:szCs w:val="24"/>
        </w:rPr>
        <w:t>, especially in the case of lower original dimensions</w:t>
      </w:r>
      <w:r w:rsidR="006760D5">
        <w:rPr>
          <w:rFonts w:eastAsiaTheme="minorEastAsia"/>
          <w:sz w:val="24"/>
          <w:szCs w:val="24"/>
        </w:rPr>
        <w:t>.</w:t>
      </w:r>
      <w:r w:rsidR="00536191">
        <w:rPr>
          <w:rStyle w:val="FootnoteReference"/>
          <w:rFonts w:eastAsiaTheme="minorEastAsia"/>
          <w:sz w:val="24"/>
          <w:szCs w:val="24"/>
        </w:rPr>
        <w:footnoteReference w:id="24"/>
      </w:r>
    </w:p>
    <w:p w14:paraId="21A48BFD" w14:textId="77777777" w:rsidR="006760D5" w:rsidRDefault="006760D5" w:rsidP="006760D5">
      <w:pPr>
        <w:keepNext/>
        <w:spacing w:line="240" w:lineRule="auto"/>
        <w:jc w:val="center"/>
      </w:pPr>
      <w:r>
        <w:rPr>
          <w:rFonts w:eastAsiaTheme="minorEastAsia"/>
          <w:noProof/>
          <w:sz w:val="24"/>
          <w:szCs w:val="24"/>
        </w:rPr>
        <w:drawing>
          <wp:inline distT="0" distB="0" distL="0" distR="0" wp14:anchorId="39BA899B" wp14:editId="3C58D430">
            <wp:extent cx="3988497" cy="4108106"/>
            <wp:effectExtent l="149860" t="116840" r="142875" b="161925"/>
            <wp:docPr id="170169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5400000">
                      <a:off x="0" y="0"/>
                      <a:ext cx="4019448" cy="41399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C2D1F8" w14:textId="320B7B38" w:rsidR="0088327D" w:rsidRDefault="00536191" w:rsidP="006760D5">
      <w:pPr>
        <w:pStyle w:val="Caption"/>
        <w:jc w:val="center"/>
        <w:rPr>
          <w:rFonts w:eastAsiaTheme="minorEastAsia"/>
          <w:sz w:val="22"/>
          <w:szCs w:val="22"/>
        </w:rPr>
      </w:pPr>
      <w:r w:rsidRPr="00536191">
        <w:rPr>
          <w:rFonts w:eastAsiaTheme="minorEastAsia"/>
          <w:sz w:val="22"/>
          <w:szCs w:val="22"/>
        </w:rPr>
        <w:t>Figure 4: Scree p</w:t>
      </w:r>
      <w:r>
        <w:rPr>
          <w:rFonts w:eastAsiaTheme="minorEastAsia"/>
          <w:sz w:val="22"/>
          <w:szCs w:val="22"/>
        </w:rPr>
        <w:t>l</w:t>
      </w:r>
      <w:r w:rsidRPr="00536191">
        <w:rPr>
          <w:rFonts w:eastAsiaTheme="minorEastAsia"/>
          <w:sz w:val="22"/>
          <w:szCs w:val="22"/>
        </w:rPr>
        <w:t>ot of stress by dimension in Kruskal (1964: 17)</w:t>
      </w:r>
    </w:p>
    <w:p w14:paraId="35E19A5A" w14:textId="5FDC4F2A" w:rsidR="00536191" w:rsidRDefault="002C2C95" w:rsidP="00536191">
      <w:pPr>
        <w:spacing w:line="480" w:lineRule="auto"/>
        <w:jc w:val="both"/>
        <w:rPr>
          <w:sz w:val="24"/>
          <w:szCs w:val="24"/>
        </w:rPr>
      </w:pPr>
      <w:r>
        <w:rPr>
          <w:sz w:val="24"/>
          <w:szCs w:val="24"/>
        </w:rPr>
        <w:t>Stress values may also be normalized to return values of between 0 and 1, with lower values corresponding to a better fit,</w:t>
      </w:r>
      <w:r w:rsidR="009F1F8F">
        <w:rPr>
          <w:rStyle w:val="FootnoteReference"/>
          <w:sz w:val="24"/>
          <w:szCs w:val="24"/>
        </w:rPr>
        <w:footnoteReference w:id="25"/>
      </w:r>
      <w:r>
        <w:rPr>
          <w:sz w:val="24"/>
          <w:szCs w:val="24"/>
        </w:rPr>
        <w:t xml:space="preserve"> however, for metric scaling, that solution is less </w:t>
      </w:r>
      <w:r>
        <w:rPr>
          <w:sz w:val="24"/>
          <w:szCs w:val="24"/>
        </w:rPr>
        <w:lastRenderedPageBreak/>
        <w:t>operationalizable within the software used, therefore this paper will report raw stress values that can be interpreted as the relative accuracy of different scaling solutions within the analysis.</w:t>
      </w:r>
    </w:p>
    <w:p w14:paraId="52C1E0D9" w14:textId="7358A121" w:rsidR="009F1F8F" w:rsidRDefault="009F1F8F" w:rsidP="00536191">
      <w:pPr>
        <w:spacing w:line="480" w:lineRule="auto"/>
        <w:jc w:val="both"/>
        <w:rPr>
          <w:rFonts w:eastAsiaTheme="minorEastAsia"/>
          <w:sz w:val="24"/>
          <w:szCs w:val="24"/>
        </w:rPr>
      </w:pPr>
      <w:r>
        <w:rPr>
          <w:sz w:val="24"/>
          <w:szCs w:val="24"/>
        </w:rPr>
        <w:t xml:space="preserve">Multidimensional scaling </w:t>
      </w:r>
      <w:r w:rsidR="00AA4205">
        <w:rPr>
          <w:sz w:val="24"/>
          <w:szCs w:val="24"/>
        </w:rPr>
        <w:t>methods have previously been used in the field of seismology and geophysics for clustering seismic occurrences in time and space</w:t>
      </w:r>
      <w:r w:rsidR="00AA4205">
        <w:rPr>
          <w:rStyle w:val="FootnoteReference"/>
          <w:sz w:val="24"/>
          <w:szCs w:val="24"/>
        </w:rPr>
        <w:footnoteReference w:id="26"/>
      </w:r>
      <w:r w:rsidR="00851FA0">
        <w:rPr>
          <w:sz w:val="24"/>
          <w:szCs w:val="24"/>
        </w:rPr>
        <w:t xml:space="preserve"> and advanced nonlinear MDS for predictive analysis and visualisation.</w:t>
      </w:r>
      <w:r w:rsidR="00851FA0">
        <w:rPr>
          <w:rStyle w:val="FootnoteReference"/>
          <w:sz w:val="24"/>
          <w:szCs w:val="24"/>
        </w:rPr>
        <w:footnoteReference w:id="27"/>
      </w:r>
      <w:r w:rsidR="00851FA0">
        <w:rPr>
          <w:sz w:val="24"/>
          <w:szCs w:val="24"/>
        </w:rPr>
        <w:t xml:space="preserve"> The present paper deployed MDS for the visual representation analysis and clustering of </w:t>
      </w:r>
      <w:r w:rsidR="00C95AA1">
        <w:rPr>
          <w:sz w:val="24"/>
          <w:szCs w:val="24"/>
        </w:rPr>
        <w:t xml:space="preserve">the filtered </w:t>
      </w:r>
      <w:r w:rsidR="00851FA0">
        <w:rPr>
          <w:sz w:val="24"/>
          <w:szCs w:val="24"/>
        </w:rPr>
        <w:t>seismic data</w:t>
      </w:r>
      <w:r w:rsidR="000175FC">
        <w:rPr>
          <w:sz w:val="24"/>
          <w:szCs w:val="24"/>
        </w:rPr>
        <w:t xml:space="preserve"> by rendering different time periods before – and including – the earthquakes into </w:t>
      </w:r>
      <m:oMath>
        <m:r>
          <w:rPr>
            <w:rFonts w:ascii="Cambria Math" w:hAnsi="Cambria Math"/>
            <w:sz w:val="24"/>
            <w:szCs w:val="24"/>
          </w:rPr>
          <m:t>N</m:t>
        </m:r>
      </m:oMath>
      <w:r w:rsidR="000175FC">
        <w:rPr>
          <w:sz w:val="24"/>
          <w:szCs w:val="24"/>
        </w:rPr>
        <w:t xml:space="preserve"> equal-length time windows containing </w:t>
      </w:r>
      <m:oMath>
        <m:r>
          <w:rPr>
            <w:rFonts w:ascii="Cambria Math" w:hAnsi="Cambria Math"/>
            <w:sz w:val="24"/>
            <w:szCs w:val="24"/>
          </w:rPr>
          <m:t>M</m:t>
        </m:r>
      </m:oMath>
      <w:r w:rsidR="000175FC">
        <w:rPr>
          <w:sz w:val="24"/>
          <w:szCs w:val="24"/>
        </w:rPr>
        <w:t xml:space="preserve"> samples i.e. </w:t>
      </w:r>
      <m:oMath>
        <m:r>
          <w:rPr>
            <w:rFonts w:ascii="Cambria Math" w:hAnsi="Cambria Math"/>
            <w:sz w:val="24"/>
            <w:szCs w:val="24"/>
          </w:rPr>
          <m:t>N</m:t>
        </m:r>
      </m:oMath>
      <w:r w:rsidR="000175FC">
        <w:rPr>
          <w:sz w:val="24"/>
          <w:szCs w:val="24"/>
        </w:rPr>
        <w:t xml:space="preserve"> objects of </w:t>
      </w:r>
      <m:oMath>
        <m:r>
          <w:rPr>
            <w:rFonts w:ascii="Cambria Math" w:hAnsi="Cambria Math"/>
            <w:sz w:val="24"/>
            <w:szCs w:val="24"/>
          </w:rPr>
          <m:t>M</m:t>
        </m:r>
      </m:oMath>
      <w:r w:rsidR="000175FC">
        <w:rPr>
          <w:rFonts w:eastAsiaTheme="minorEastAsia"/>
          <w:sz w:val="24"/>
          <w:szCs w:val="24"/>
        </w:rPr>
        <w:t xml:space="preserve"> original dimensions and representing them in a </w:t>
      </w:r>
      <m:oMath>
        <m:r>
          <w:rPr>
            <w:rFonts w:ascii="Cambria Math" w:eastAsiaTheme="minorEastAsia" w:hAnsi="Cambria Math"/>
            <w:sz w:val="24"/>
            <w:szCs w:val="24"/>
          </w:rPr>
          <m:t>k=2 or k=3</m:t>
        </m:r>
      </m:oMath>
      <w:r w:rsidR="000175FC">
        <w:rPr>
          <w:rFonts w:eastAsiaTheme="minorEastAsia"/>
          <w:sz w:val="24"/>
          <w:szCs w:val="24"/>
        </w:rPr>
        <w:t xml:space="preserve"> dimensional </w:t>
      </w:r>
      <w:r w:rsidR="00B72732">
        <w:rPr>
          <w:rFonts w:eastAsiaTheme="minorEastAsia"/>
          <w:sz w:val="24"/>
          <w:szCs w:val="24"/>
        </w:rPr>
        <w:t>embedding</w:t>
      </w:r>
      <w:r w:rsidR="000175FC">
        <w:rPr>
          <w:rFonts w:eastAsiaTheme="minorEastAsia"/>
          <w:sz w:val="24"/>
          <w:szCs w:val="24"/>
        </w:rPr>
        <w:t xml:space="preserve"> space with the aim of identifying clusters within the observations in order improve the statistical understanding of earthquake precursor phenomena and facilitate </w:t>
      </w:r>
      <w:r w:rsidR="00896334">
        <w:rPr>
          <w:rFonts w:eastAsiaTheme="minorEastAsia"/>
          <w:sz w:val="24"/>
          <w:szCs w:val="24"/>
        </w:rPr>
        <w:t>an visual mapping of seismic data, a key step in fine-tuning earthquake prediction methods.</w:t>
      </w:r>
      <w:r w:rsidR="00B72732">
        <w:rPr>
          <w:rFonts w:eastAsiaTheme="minorEastAsia"/>
          <w:sz w:val="24"/>
          <w:szCs w:val="24"/>
        </w:rPr>
        <w:t xml:space="preserve"> The same MDS models will be applied to </w:t>
      </w:r>
      <w:r w:rsidR="00B61660">
        <w:rPr>
          <w:rFonts w:eastAsiaTheme="minorEastAsia"/>
          <w:sz w:val="24"/>
          <w:szCs w:val="24"/>
        </w:rPr>
        <w:t>both</w:t>
      </w:r>
      <w:r w:rsidR="00B72732">
        <w:rPr>
          <w:rFonts w:eastAsiaTheme="minorEastAsia"/>
          <w:sz w:val="24"/>
          <w:szCs w:val="24"/>
        </w:rPr>
        <w:t xml:space="preserve"> earthquakes in order to detect any statistical consistencies across seismic events separated by time and space.</w:t>
      </w:r>
    </w:p>
    <w:p w14:paraId="27E60C29" w14:textId="5371DA9F" w:rsidR="00896334" w:rsidRDefault="00896334" w:rsidP="00536191">
      <w:pPr>
        <w:spacing w:line="480" w:lineRule="auto"/>
        <w:jc w:val="both"/>
        <w:rPr>
          <w:rFonts w:eastAsiaTheme="minorEastAsia"/>
          <w:b/>
          <w:bCs/>
          <w:sz w:val="24"/>
          <w:szCs w:val="24"/>
        </w:rPr>
      </w:pPr>
      <w:r>
        <w:rPr>
          <w:rFonts w:eastAsiaTheme="minorEastAsia"/>
          <w:b/>
          <w:bCs/>
          <w:sz w:val="24"/>
          <w:szCs w:val="24"/>
        </w:rPr>
        <w:t>Code</w:t>
      </w:r>
    </w:p>
    <w:p w14:paraId="30B637AE" w14:textId="77777777" w:rsidR="00FB42DA" w:rsidRDefault="00C95AA1" w:rsidP="00536191">
      <w:pPr>
        <w:spacing w:line="480" w:lineRule="auto"/>
        <w:jc w:val="both"/>
        <w:rPr>
          <w:rFonts w:eastAsiaTheme="minorEastAsia"/>
          <w:sz w:val="24"/>
          <w:szCs w:val="24"/>
        </w:rPr>
      </w:pPr>
      <w:r>
        <w:rPr>
          <w:rFonts w:eastAsiaTheme="minorEastAsia"/>
          <w:sz w:val="24"/>
          <w:szCs w:val="24"/>
        </w:rPr>
        <w:t>All codes for the report were written in Python 3 and all multidimensional scaling was conducted by the scikit-learn machine learning MDS module</w:t>
      </w:r>
      <w:r w:rsidR="001135C3">
        <w:rPr>
          <w:rFonts w:eastAsiaTheme="minorEastAsia"/>
          <w:sz w:val="24"/>
          <w:szCs w:val="24"/>
        </w:rPr>
        <w:t xml:space="preserve"> for stress optimisation</w:t>
      </w:r>
      <w:r>
        <w:rPr>
          <w:rFonts w:eastAsiaTheme="minorEastAsia"/>
          <w:sz w:val="24"/>
          <w:szCs w:val="24"/>
        </w:rPr>
        <w:t xml:space="preserve"> with Matplotlib </w:t>
      </w:r>
      <w:proofErr w:type="spellStart"/>
      <w:r>
        <w:rPr>
          <w:rFonts w:eastAsiaTheme="minorEastAsia"/>
          <w:sz w:val="24"/>
          <w:szCs w:val="24"/>
        </w:rPr>
        <w:t>Pyplot</w:t>
      </w:r>
      <w:proofErr w:type="spellEnd"/>
      <w:r>
        <w:rPr>
          <w:rFonts w:eastAsiaTheme="minorEastAsia"/>
          <w:sz w:val="24"/>
          <w:szCs w:val="24"/>
        </w:rPr>
        <w:t xml:space="preserve"> visualisation tools. The codes are available in a </w:t>
      </w:r>
      <w:proofErr w:type="spellStart"/>
      <w:r>
        <w:rPr>
          <w:rFonts w:eastAsiaTheme="minorEastAsia"/>
          <w:sz w:val="24"/>
          <w:szCs w:val="24"/>
        </w:rPr>
        <w:t>Jupyter</w:t>
      </w:r>
      <w:proofErr w:type="spellEnd"/>
      <w:r>
        <w:rPr>
          <w:rFonts w:eastAsiaTheme="minorEastAsia"/>
          <w:sz w:val="24"/>
          <w:szCs w:val="24"/>
        </w:rPr>
        <w:t xml:space="preserve"> notebook:</w:t>
      </w:r>
      <w:r w:rsidR="000E4F22">
        <w:rPr>
          <w:rFonts w:eastAsiaTheme="minorEastAsia"/>
          <w:sz w:val="24"/>
          <w:szCs w:val="24"/>
        </w:rPr>
        <w:t xml:space="preserve"> </w:t>
      </w:r>
      <w:hyperlink r:id="rId12" w:history="1">
        <w:r w:rsidR="00C41311" w:rsidRPr="00521C33">
          <w:rPr>
            <w:rStyle w:val="Hyperlink"/>
            <w:rFonts w:eastAsiaTheme="minorEastAsia"/>
            <w:sz w:val="24"/>
            <w:szCs w:val="24"/>
          </w:rPr>
          <w:t>https://github.com/adamarany/adamarany.git</w:t>
        </w:r>
      </w:hyperlink>
      <w:r w:rsidR="00FB42DA">
        <w:rPr>
          <w:rFonts w:eastAsiaTheme="minorEastAsia"/>
          <w:sz w:val="24"/>
          <w:szCs w:val="24"/>
        </w:rPr>
        <w:t xml:space="preserve"> </w:t>
      </w:r>
    </w:p>
    <w:p w14:paraId="5E400305" w14:textId="7A191E8E" w:rsidR="000E4F22" w:rsidRPr="00C41311" w:rsidRDefault="000E4F22" w:rsidP="00536191">
      <w:pPr>
        <w:spacing w:line="480" w:lineRule="auto"/>
        <w:jc w:val="both"/>
        <w:rPr>
          <w:rFonts w:eastAsiaTheme="minorEastAsia"/>
          <w:sz w:val="24"/>
          <w:szCs w:val="24"/>
        </w:rPr>
      </w:pPr>
      <w:r w:rsidRPr="00F61C9B">
        <w:rPr>
          <w:rFonts w:eastAsiaTheme="minorEastAsia"/>
          <w:b/>
          <w:bCs/>
          <w:sz w:val="32"/>
          <w:szCs w:val="32"/>
        </w:rPr>
        <w:lastRenderedPageBreak/>
        <w:t>Results</w:t>
      </w:r>
    </w:p>
    <w:p w14:paraId="3D6486BF" w14:textId="77777777" w:rsidR="00F039DF" w:rsidRDefault="00F039DF" w:rsidP="00536191">
      <w:pPr>
        <w:spacing w:line="480" w:lineRule="auto"/>
        <w:jc w:val="both"/>
        <w:rPr>
          <w:rFonts w:eastAsiaTheme="minorEastAsia"/>
          <w:b/>
          <w:bCs/>
          <w:sz w:val="24"/>
          <w:szCs w:val="24"/>
        </w:rPr>
      </w:pPr>
    </w:p>
    <w:p w14:paraId="3C84F2BA" w14:textId="2D54EB05" w:rsidR="000E4F22" w:rsidRPr="00E976C3" w:rsidRDefault="000E4F22" w:rsidP="00E976C3">
      <w:pPr>
        <w:pStyle w:val="ListParagraph"/>
        <w:numPr>
          <w:ilvl w:val="0"/>
          <w:numId w:val="2"/>
        </w:numPr>
        <w:spacing w:line="480" w:lineRule="auto"/>
        <w:jc w:val="both"/>
        <w:rPr>
          <w:rFonts w:eastAsiaTheme="minorEastAsia"/>
          <w:b/>
          <w:bCs/>
          <w:sz w:val="28"/>
          <w:szCs w:val="28"/>
        </w:rPr>
      </w:pPr>
      <w:r w:rsidRPr="00E976C3">
        <w:rPr>
          <w:rFonts w:eastAsiaTheme="minorEastAsia"/>
          <w:b/>
          <w:bCs/>
          <w:sz w:val="28"/>
          <w:szCs w:val="28"/>
        </w:rPr>
        <w:t>Kumamoto earthquake</w:t>
      </w:r>
      <w:r w:rsidR="00623EA4" w:rsidRPr="00E976C3">
        <w:rPr>
          <w:rFonts w:eastAsiaTheme="minorEastAsia"/>
          <w:b/>
          <w:bCs/>
          <w:sz w:val="28"/>
          <w:szCs w:val="28"/>
        </w:rPr>
        <w:t xml:space="preserve"> 2016</w:t>
      </w:r>
    </w:p>
    <w:p w14:paraId="2BE18B82" w14:textId="2005FCFF" w:rsidR="000E4F22" w:rsidRDefault="00D92C1D" w:rsidP="00536191">
      <w:pPr>
        <w:spacing w:line="480" w:lineRule="auto"/>
        <w:jc w:val="both"/>
        <w:rPr>
          <w:rFonts w:eastAsiaTheme="minorEastAsia"/>
          <w:sz w:val="24"/>
          <w:szCs w:val="24"/>
        </w:rPr>
      </w:pPr>
      <w:r>
        <w:rPr>
          <w:rFonts w:eastAsiaTheme="minorEastAsia"/>
          <w:sz w:val="24"/>
          <w:szCs w:val="24"/>
        </w:rPr>
        <w:t>The first earthquake observed had its epicentre to the southeast of Kumamoto on the island of Kyushu and hit on the 14</w:t>
      </w:r>
      <w:r w:rsidRPr="00D92C1D">
        <w:rPr>
          <w:rFonts w:eastAsiaTheme="minorEastAsia"/>
          <w:sz w:val="24"/>
          <w:szCs w:val="24"/>
          <w:vertAlign w:val="superscript"/>
        </w:rPr>
        <w:t>th</w:t>
      </w:r>
      <w:r>
        <w:rPr>
          <w:rFonts w:eastAsiaTheme="minorEastAsia"/>
          <w:sz w:val="24"/>
          <w:szCs w:val="24"/>
        </w:rPr>
        <w:t xml:space="preserve"> of April 2016.</w:t>
      </w:r>
    </w:p>
    <w:p w14:paraId="068ACFE3" w14:textId="77777777" w:rsidR="00D92C1D" w:rsidRDefault="00D92C1D" w:rsidP="00D92C1D">
      <w:pPr>
        <w:keepNext/>
        <w:spacing w:line="240" w:lineRule="auto"/>
        <w:jc w:val="center"/>
      </w:pPr>
      <w:r w:rsidRPr="00D92C1D">
        <w:rPr>
          <w:rFonts w:eastAsiaTheme="minorEastAsia"/>
          <w:noProof/>
          <w:sz w:val="24"/>
          <w:szCs w:val="24"/>
        </w:rPr>
        <w:drawing>
          <wp:inline distT="0" distB="0" distL="0" distR="0" wp14:anchorId="519897B3" wp14:editId="16BBB4F2">
            <wp:extent cx="5166324" cy="3467100"/>
            <wp:effectExtent l="133350" t="114300" r="130175" b="171450"/>
            <wp:docPr id="2005028740" name="Picture 2"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28740" name="Picture 2" descr="A map of a city&#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3718" cy="351232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2FBFAD1" w14:textId="04AC4D75" w:rsidR="00D92C1D" w:rsidRPr="00D92C1D" w:rsidRDefault="00D92C1D" w:rsidP="00D92C1D">
      <w:pPr>
        <w:pStyle w:val="Caption"/>
        <w:jc w:val="center"/>
        <w:rPr>
          <w:rFonts w:eastAsiaTheme="minorEastAsia"/>
          <w:sz w:val="22"/>
          <w:szCs w:val="22"/>
        </w:rPr>
      </w:pPr>
      <w:r w:rsidRPr="00D92C1D">
        <w:rPr>
          <w:rFonts w:eastAsiaTheme="minorEastAsia"/>
          <w:sz w:val="22"/>
          <w:szCs w:val="22"/>
        </w:rPr>
        <w:t>Figure 5: Epicentre of 2016 Kumamoto earthquake</w:t>
      </w:r>
    </w:p>
    <w:p w14:paraId="06174C53" w14:textId="77777777" w:rsidR="00F039DF" w:rsidRDefault="00F039DF" w:rsidP="00536191">
      <w:pPr>
        <w:spacing w:line="480" w:lineRule="auto"/>
        <w:jc w:val="both"/>
        <w:rPr>
          <w:rFonts w:eastAsiaTheme="minorEastAsia"/>
          <w:sz w:val="24"/>
          <w:szCs w:val="24"/>
        </w:rPr>
      </w:pPr>
    </w:p>
    <w:p w14:paraId="4566A9C2" w14:textId="5492280D" w:rsidR="00D92C1D" w:rsidRDefault="00D92C1D" w:rsidP="00536191">
      <w:pPr>
        <w:spacing w:line="480" w:lineRule="auto"/>
        <w:jc w:val="both"/>
        <w:rPr>
          <w:rFonts w:eastAsiaTheme="minorEastAsia"/>
          <w:sz w:val="24"/>
          <w:szCs w:val="24"/>
        </w:rPr>
      </w:pPr>
      <w:r>
        <w:rPr>
          <w:rFonts w:eastAsiaTheme="minorEastAsia"/>
          <w:sz w:val="24"/>
          <w:szCs w:val="24"/>
        </w:rPr>
        <w:t>The earthquake had magnitude 6.5 and the closest Hi-net seismic station it was detected by was ‘MSIH’ 6.193 km away from the epicentre.</w:t>
      </w:r>
    </w:p>
    <w:p w14:paraId="44765890" w14:textId="77777777" w:rsidR="00F039DF" w:rsidRDefault="00F039DF" w:rsidP="00F039DF">
      <w:pPr>
        <w:keepNext/>
        <w:spacing w:line="240" w:lineRule="auto"/>
        <w:jc w:val="center"/>
      </w:pPr>
      <w:r w:rsidRPr="00F039DF">
        <w:rPr>
          <w:rFonts w:eastAsiaTheme="minorEastAsia"/>
          <w:noProof/>
          <w:sz w:val="24"/>
          <w:szCs w:val="24"/>
        </w:rPr>
        <w:lastRenderedPageBreak/>
        <w:drawing>
          <wp:inline distT="0" distB="0" distL="0" distR="0" wp14:anchorId="731471A0" wp14:editId="14E814E2">
            <wp:extent cx="4102100" cy="2885726"/>
            <wp:effectExtent l="114300" t="114300" r="146050" b="162560"/>
            <wp:docPr id="988795887" name="Picture 3"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95887" name="Picture 3" descr="A graph with a lin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26015" cy="29025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510E7E7" w14:textId="282FC694" w:rsidR="00F039DF" w:rsidRPr="00F039DF" w:rsidRDefault="00F039DF" w:rsidP="00F039DF">
      <w:pPr>
        <w:pStyle w:val="Caption"/>
        <w:jc w:val="center"/>
        <w:rPr>
          <w:rFonts w:eastAsiaTheme="minorEastAsia"/>
          <w:sz w:val="22"/>
          <w:szCs w:val="22"/>
        </w:rPr>
      </w:pPr>
      <w:r w:rsidRPr="00F039DF">
        <w:rPr>
          <w:rFonts w:eastAsiaTheme="minorEastAsia"/>
          <w:sz w:val="22"/>
          <w:szCs w:val="22"/>
        </w:rPr>
        <w:t>Figure 6</w:t>
      </w:r>
    </w:p>
    <w:p w14:paraId="2126E036" w14:textId="54EE62C1" w:rsidR="00F039DF" w:rsidRDefault="00391B0D" w:rsidP="00F039DF">
      <w:pPr>
        <w:spacing w:line="480" w:lineRule="auto"/>
        <w:jc w:val="both"/>
        <w:rPr>
          <w:rFonts w:eastAsiaTheme="minorEastAsia"/>
          <w:sz w:val="24"/>
          <w:szCs w:val="24"/>
        </w:rPr>
      </w:pPr>
      <w:r>
        <w:rPr>
          <w:rFonts w:eastAsiaTheme="minorEastAsia"/>
          <w:sz w:val="24"/>
          <w:szCs w:val="24"/>
        </w:rPr>
        <w:t xml:space="preserve">To </w:t>
      </w:r>
      <w:r w:rsidR="00F61C9B">
        <w:rPr>
          <w:rFonts w:eastAsiaTheme="minorEastAsia"/>
          <w:sz w:val="24"/>
          <w:szCs w:val="24"/>
        </w:rPr>
        <w:t>provide</w:t>
      </w:r>
      <w:r>
        <w:rPr>
          <w:rFonts w:eastAsiaTheme="minorEastAsia"/>
          <w:sz w:val="24"/>
          <w:szCs w:val="24"/>
        </w:rPr>
        <w:t xml:space="preserve"> an example of the filtering process, the</w:t>
      </w:r>
      <w:r w:rsidR="00F039DF">
        <w:rPr>
          <w:rFonts w:eastAsiaTheme="minorEastAsia"/>
          <w:sz w:val="24"/>
          <w:szCs w:val="24"/>
        </w:rPr>
        <w:t xml:space="preserve"> </w:t>
      </w:r>
      <w:r>
        <w:rPr>
          <w:rFonts w:eastAsiaTheme="minorEastAsia"/>
          <w:sz w:val="24"/>
          <w:szCs w:val="24"/>
        </w:rPr>
        <w:t xml:space="preserve">above snippet of the </w:t>
      </w:r>
      <w:r w:rsidR="00F039DF">
        <w:rPr>
          <w:rFonts w:eastAsiaTheme="minorEastAsia"/>
          <w:sz w:val="24"/>
          <w:szCs w:val="24"/>
        </w:rPr>
        <w:t xml:space="preserve">unfiltered seismogram </w:t>
      </w:r>
      <w:r>
        <w:rPr>
          <w:rFonts w:eastAsiaTheme="minorEastAsia"/>
          <w:sz w:val="24"/>
          <w:szCs w:val="24"/>
        </w:rPr>
        <w:t>displaying</w:t>
      </w:r>
      <w:r w:rsidR="00F039DF">
        <w:rPr>
          <w:rFonts w:eastAsiaTheme="minorEastAsia"/>
          <w:sz w:val="24"/>
          <w:szCs w:val="24"/>
        </w:rPr>
        <w:t xml:space="preserve"> the last 2 days of data shows the massive impact of the surface wave as well as two smaller waves around the 1</w:t>
      </w:r>
      <w:r w:rsidR="00F039DF" w:rsidRPr="00F039DF">
        <w:rPr>
          <w:rFonts w:eastAsiaTheme="minorEastAsia"/>
          <w:sz w:val="24"/>
          <w:szCs w:val="24"/>
          <w:vertAlign w:val="superscript"/>
        </w:rPr>
        <w:t>st</w:t>
      </w:r>
      <w:r w:rsidR="00F039DF">
        <w:rPr>
          <w:rFonts w:eastAsiaTheme="minorEastAsia"/>
          <w:sz w:val="24"/>
          <w:szCs w:val="24"/>
        </w:rPr>
        <w:t xml:space="preserve"> and 3</w:t>
      </w:r>
      <w:r w:rsidR="00F039DF" w:rsidRPr="00F039DF">
        <w:rPr>
          <w:rFonts w:eastAsiaTheme="minorEastAsia"/>
          <w:sz w:val="24"/>
          <w:szCs w:val="24"/>
          <w:vertAlign w:val="superscript"/>
        </w:rPr>
        <w:t>rd</w:t>
      </w:r>
      <w:r w:rsidR="00F039DF">
        <w:rPr>
          <w:rFonts w:eastAsiaTheme="minorEastAsia"/>
          <w:sz w:val="24"/>
          <w:szCs w:val="24"/>
        </w:rPr>
        <w:t xml:space="preserve"> quarter of the plot.</w:t>
      </w:r>
    </w:p>
    <w:p w14:paraId="616E5801" w14:textId="77777777" w:rsidR="00F039DF" w:rsidRDefault="00F039DF" w:rsidP="00F039DF">
      <w:pPr>
        <w:keepNext/>
        <w:spacing w:line="240" w:lineRule="auto"/>
        <w:jc w:val="center"/>
      </w:pPr>
      <w:r w:rsidRPr="00F039DF">
        <w:rPr>
          <w:rFonts w:eastAsiaTheme="minorEastAsia"/>
          <w:noProof/>
          <w:sz w:val="24"/>
          <w:szCs w:val="24"/>
        </w:rPr>
        <w:drawing>
          <wp:inline distT="0" distB="0" distL="0" distR="0" wp14:anchorId="036F9AE6" wp14:editId="649C8CF1">
            <wp:extent cx="3956050" cy="2821367"/>
            <wp:effectExtent l="133350" t="114300" r="139700" b="169545"/>
            <wp:docPr id="1847988268" name="Picture 4" descr="A graph of a pul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88268" name="Picture 4" descr="A graph of a pulse&#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7014" cy="283631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6B1A53" w14:textId="068C29A0" w:rsidR="00F039DF" w:rsidRPr="00F039DF" w:rsidRDefault="00F039DF" w:rsidP="00F039DF">
      <w:pPr>
        <w:pStyle w:val="Caption"/>
        <w:jc w:val="center"/>
        <w:rPr>
          <w:rFonts w:eastAsiaTheme="minorEastAsia"/>
          <w:sz w:val="22"/>
          <w:szCs w:val="22"/>
        </w:rPr>
      </w:pPr>
      <w:r w:rsidRPr="00F039DF">
        <w:rPr>
          <w:rFonts w:eastAsiaTheme="minorEastAsia"/>
          <w:sz w:val="22"/>
          <w:szCs w:val="22"/>
        </w:rPr>
        <w:t>Figure 7</w:t>
      </w:r>
    </w:p>
    <w:p w14:paraId="46F3D3A1" w14:textId="1ED54AF4" w:rsidR="00B17970" w:rsidRDefault="00F039DF" w:rsidP="00536191">
      <w:pPr>
        <w:spacing w:line="480" w:lineRule="auto"/>
        <w:jc w:val="both"/>
        <w:rPr>
          <w:rFonts w:eastAsiaTheme="minorEastAsia"/>
          <w:sz w:val="24"/>
          <w:szCs w:val="24"/>
        </w:rPr>
      </w:pPr>
      <w:r>
        <w:rPr>
          <w:rFonts w:eastAsiaTheme="minorEastAsia"/>
          <w:sz w:val="24"/>
          <w:szCs w:val="24"/>
        </w:rPr>
        <w:lastRenderedPageBreak/>
        <w:t>However, zooming in on one of the smaller wave</w:t>
      </w:r>
      <w:r w:rsidR="00B17970">
        <w:rPr>
          <w:rFonts w:eastAsiaTheme="minorEastAsia"/>
          <w:sz w:val="24"/>
          <w:szCs w:val="24"/>
        </w:rPr>
        <w:t xml:space="preserve"> on Figure 7</w:t>
      </w:r>
      <w:r>
        <w:rPr>
          <w:rFonts w:eastAsiaTheme="minorEastAsia"/>
          <w:sz w:val="24"/>
          <w:szCs w:val="24"/>
        </w:rPr>
        <w:t xml:space="preserve"> it becomes apparent that </w:t>
      </w:r>
      <w:r w:rsidR="00B17970">
        <w:rPr>
          <w:rFonts w:eastAsiaTheme="minorEastAsia"/>
          <w:sz w:val="24"/>
          <w:szCs w:val="24"/>
        </w:rPr>
        <w:t xml:space="preserve">it was not caused by tectonic activity as the signal is symmetrical, in contrast to the clear earthquake structure of the main wave displayed on Figure 8 </w:t>
      </w:r>
      <w:r w:rsidR="00391B0D">
        <w:rPr>
          <w:rFonts w:eastAsiaTheme="minorEastAsia"/>
          <w:sz w:val="24"/>
          <w:szCs w:val="24"/>
        </w:rPr>
        <w:t>below</w:t>
      </w:r>
      <w:r w:rsidR="00B17970">
        <w:rPr>
          <w:rFonts w:eastAsiaTheme="minorEastAsia"/>
          <w:sz w:val="24"/>
          <w:szCs w:val="24"/>
        </w:rPr>
        <w:t>.</w:t>
      </w:r>
    </w:p>
    <w:p w14:paraId="5F6BFFA3" w14:textId="77777777" w:rsidR="00B17970" w:rsidRDefault="00B17970" w:rsidP="00B17970">
      <w:pPr>
        <w:keepNext/>
        <w:spacing w:line="240" w:lineRule="auto"/>
        <w:jc w:val="center"/>
      </w:pPr>
      <w:r w:rsidRPr="00B17970">
        <w:rPr>
          <w:rFonts w:eastAsiaTheme="minorEastAsia"/>
          <w:noProof/>
          <w:sz w:val="24"/>
          <w:szCs w:val="24"/>
        </w:rPr>
        <w:drawing>
          <wp:inline distT="0" distB="0" distL="0" distR="0" wp14:anchorId="35D5A031" wp14:editId="3FB54DF4">
            <wp:extent cx="3778250" cy="2376805"/>
            <wp:effectExtent l="133350" t="114300" r="146050" b="156845"/>
            <wp:docPr id="7163656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65622"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t="7391"/>
                    <a:stretch/>
                  </pic:blipFill>
                  <pic:spPr bwMode="auto">
                    <a:xfrm>
                      <a:off x="0" y="0"/>
                      <a:ext cx="3826974" cy="24074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42D1E14" w14:textId="40007858" w:rsidR="000E4F22" w:rsidRDefault="00B17970" w:rsidP="00B17970">
      <w:pPr>
        <w:pStyle w:val="Caption"/>
        <w:jc w:val="center"/>
        <w:rPr>
          <w:sz w:val="22"/>
          <w:szCs w:val="22"/>
        </w:rPr>
      </w:pPr>
      <w:r w:rsidRPr="00B17970">
        <w:rPr>
          <w:sz w:val="22"/>
          <w:szCs w:val="22"/>
        </w:rPr>
        <w:t>Figure 8</w:t>
      </w:r>
    </w:p>
    <w:p w14:paraId="78428D04" w14:textId="75B10680" w:rsidR="00957AF0" w:rsidRDefault="00391B0D" w:rsidP="00391B0D">
      <w:pPr>
        <w:spacing w:line="480" w:lineRule="auto"/>
        <w:jc w:val="both"/>
        <w:rPr>
          <w:sz w:val="24"/>
          <w:szCs w:val="24"/>
        </w:rPr>
      </w:pPr>
      <w:r>
        <w:rPr>
          <w:sz w:val="24"/>
          <w:szCs w:val="24"/>
        </w:rPr>
        <w:t>Accordingly, after the data had been passed through the 2 Hz high pass filter, the two smaller waves are no longer detectable, and the earthquake wave structure is more accentuated</w:t>
      </w:r>
      <w:r w:rsidR="00F61C9B">
        <w:rPr>
          <w:sz w:val="24"/>
          <w:szCs w:val="24"/>
        </w:rPr>
        <w:t>:</w:t>
      </w:r>
    </w:p>
    <w:p w14:paraId="294BB023" w14:textId="77777777" w:rsidR="00F61C9B" w:rsidRDefault="00F61C9B" w:rsidP="00F61C9B">
      <w:pPr>
        <w:keepNext/>
        <w:spacing w:line="240" w:lineRule="auto"/>
        <w:jc w:val="center"/>
      </w:pPr>
      <w:r w:rsidRPr="00F61C9B">
        <w:rPr>
          <w:noProof/>
          <w:sz w:val="24"/>
          <w:szCs w:val="24"/>
        </w:rPr>
        <w:drawing>
          <wp:inline distT="0" distB="0" distL="0" distR="0" wp14:anchorId="7DF80566" wp14:editId="780A4E9F">
            <wp:extent cx="3829050" cy="2755265"/>
            <wp:effectExtent l="152400" t="114300" r="152400" b="159385"/>
            <wp:docPr id="31384064" name="Picture 6"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4064" name="Picture 6" descr="A graph with a lin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68629" cy="27837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694808" w14:textId="20CF7B12" w:rsidR="00F61C9B" w:rsidRDefault="00F61C9B" w:rsidP="00F61C9B">
      <w:pPr>
        <w:pStyle w:val="Caption"/>
        <w:jc w:val="center"/>
        <w:rPr>
          <w:sz w:val="22"/>
          <w:szCs w:val="22"/>
        </w:rPr>
      </w:pPr>
      <w:r w:rsidRPr="00F61C9B">
        <w:rPr>
          <w:sz w:val="22"/>
          <w:szCs w:val="22"/>
        </w:rPr>
        <w:t>Figure 9</w:t>
      </w:r>
    </w:p>
    <w:p w14:paraId="04359808" w14:textId="235B22CC" w:rsidR="00F61C9B" w:rsidRDefault="00F61C9B" w:rsidP="00F61C9B">
      <w:pPr>
        <w:spacing w:line="480" w:lineRule="auto"/>
        <w:jc w:val="both"/>
        <w:rPr>
          <w:b/>
          <w:bCs/>
          <w:sz w:val="24"/>
          <w:szCs w:val="24"/>
        </w:rPr>
      </w:pPr>
      <w:r>
        <w:rPr>
          <w:b/>
          <w:bCs/>
          <w:sz w:val="24"/>
          <w:szCs w:val="24"/>
        </w:rPr>
        <w:lastRenderedPageBreak/>
        <w:t>Scaling 1.1</w:t>
      </w:r>
    </w:p>
    <w:p w14:paraId="2038BAEE" w14:textId="36F51BC0" w:rsidR="00F61C9B" w:rsidRDefault="00F61C9B" w:rsidP="00F61C9B">
      <w:pPr>
        <w:spacing w:line="480" w:lineRule="auto"/>
        <w:jc w:val="both"/>
        <w:rPr>
          <w:rFonts w:eastAsiaTheme="minorEastAsia"/>
          <w:sz w:val="24"/>
          <w:szCs w:val="24"/>
        </w:rPr>
      </w:pPr>
      <w:r>
        <w:rPr>
          <w:sz w:val="24"/>
          <w:szCs w:val="24"/>
        </w:rPr>
        <w:t>The first scaling takes the entire</w:t>
      </w:r>
      <w:r w:rsidR="005449AF">
        <w:rPr>
          <w:sz w:val="24"/>
          <w:szCs w:val="24"/>
        </w:rPr>
        <w:t xml:space="preserve"> 750 hours</w:t>
      </w:r>
      <w:r>
        <w:rPr>
          <w:sz w:val="24"/>
          <w:szCs w:val="24"/>
        </w:rPr>
        <w:t xml:space="preserve"> length of the data and breaks it down into </w:t>
      </w:r>
      <m:oMath>
        <m:r>
          <w:rPr>
            <w:rFonts w:ascii="Cambria Math" w:hAnsi="Cambria Math"/>
            <w:sz w:val="24"/>
            <w:szCs w:val="24"/>
          </w:rPr>
          <m:t>N=100</m:t>
        </m:r>
      </m:oMath>
      <w:r>
        <w:rPr>
          <w:sz w:val="24"/>
          <w:szCs w:val="24"/>
        </w:rPr>
        <w:t xml:space="preserve"> original objects </w:t>
      </w:r>
      <w:r w:rsidR="00ED43E1">
        <w:rPr>
          <w:sz w:val="24"/>
          <w:szCs w:val="24"/>
        </w:rPr>
        <w:t xml:space="preserve">of </w:t>
      </w:r>
      <m:oMath>
        <m:r>
          <w:rPr>
            <w:rFonts w:ascii="Cambria Math" w:hAnsi="Cambria Math"/>
            <w:sz w:val="24"/>
            <w:szCs w:val="24"/>
          </w:rPr>
          <m:t>M=</m:t>
        </m:r>
        <m:f>
          <m:fPr>
            <m:ctrlPr>
              <w:rPr>
                <w:rFonts w:ascii="Cambria Math" w:hAnsi="Cambria Math"/>
                <w:i/>
                <w:sz w:val="24"/>
                <w:szCs w:val="24"/>
              </w:rPr>
            </m:ctrlPr>
          </m:fPr>
          <m:num>
            <m:r>
              <w:rPr>
                <w:rFonts w:ascii="Cambria Math" w:hAnsi="Cambria Math"/>
                <w:sz w:val="24"/>
                <w:szCs w:val="24"/>
              </w:rPr>
              <m:t>270000000</m:t>
            </m:r>
          </m:num>
          <m:den>
            <m:r>
              <w:rPr>
                <w:rFonts w:ascii="Cambria Math" w:hAnsi="Cambria Math"/>
                <w:sz w:val="24"/>
                <w:szCs w:val="24"/>
              </w:rPr>
              <m:t>100</m:t>
            </m:r>
          </m:den>
        </m:f>
        <m:r>
          <w:rPr>
            <w:rFonts w:ascii="Cambria Math" w:hAnsi="Cambria Math"/>
            <w:sz w:val="24"/>
            <w:szCs w:val="24"/>
          </w:rPr>
          <m:t>=2700000</m:t>
        </m:r>
      </m:oMath>
      <w:r w:rsidR="00ED43E1">
        <w:rPr>
          <w:rFonts w:eastAsiaTheme="minorEastAsia"/>
          <w:sz w:val="24"/>
          <w:szCs w:val="24"/>
        </w:rPr>
        <w:t xml:space="preserve"> dimensions (2.7 million samples), creating a 2-dimensional feature space with each embedding point corresponding to 7.5 hours of data.</w:t>
      </w:r>
    </w:p>
    <w:p w14:paraId="18C2998F" w14:textId="77777777" w:rsidR="005449AF" w:rsidRDefault="00ED43E1" w:rsidP="005449AF">
      <w:pPr>
        <w:keepNext/>
        <w:spacing w:line="240" w:lineRule="auto"/>
        <w:jc w:val="center"/>
      </w:pPr>
      <w:r>
        <w:rPr>
          <w:rFonts w:ascii="Arial" w:hAnsi="Arial" w:cs="Arial"/>
          <w:noProof/>
          <w:color w:val="000000"/>
          <w:sz w:val="25"/>
          <w:szCs w:val="25"/>
          <w:bdr w:val="none" w:sz="0" w:space="0" w:color="auto" w:frame="1"/>
          <w:shd w:val="clear" w:color="auto" w:fill="FFFFFF"/>
        </w:rPr>
        <w:drawing>
          <wp:inline distT="0" distB="0" distL="0" distR="0" wp14:anchorId="242BA9CD" wp14:editId="50C7C171">
            <wp:extent cx="5087259" cy="2597150"/>
            <wp:effectExtent l="152400" t="152400" r="361315" b="355600"/>
            <wp:docPr id="7" name="Picture 1" descr="A graph with number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 graph with numbers and dot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97579" cy="2602418"/>
                    </a:xfrm>
                    <a:prstGeom prst="rect">
                      <a:avLst/>
                    </a:prstGeom>
                    <a:ln>
                      <a:noFill/>
                    </a:ln>
                    <a:effectLst>
                      <a:outerShdw blurRad="292100" dist="139700" dir="2700000" algn="tl" rotWithShape="0">
                        <a:srgbClr val="333333">
                          <a:alpha val="65000"/>
                        </a:srgbClr>
                      </a:outerShdw>
                    </a:effectLst>
                  </pic:spPr>
                </pic:pic>
              </a:graphicData>
            </a:graphic>
          </wp:inline>
        </w:drawing>
      </w:r>
      <w:r>
        <w:rPr>
          <w:b/>
          <w:bCs/>
          <w:sz w:val="24"/>
          <w:szCs w:val="24"/>
        </w:rPr>
        <w:br/>
      </w:r>
      <w:r w:rsidRPr="00ED43E1">
        <w:rPr>
          <w:b/>
          <w:bCs/>
          <w:noProof/>
          <w:sz w:val="24"/>
          <w:szCs w:val="24"/>
        </w:rPr>
        <w:drawing>
          <wp:inline distT="0" distB="0" distL="0" distR="0" wp14:anchorId="6F85FA30" wp14:editId="533153E9">
            <wp:extent cx="5137150" cy="2417448"/>
            <wp:effectExtent l="152400" t="152400" r="368300" b="363855"/>
            <wp:docPr id="1664552232" name="Picture 8" descr="A graph with number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52232" name="Picture 8" descr="A graph with numbers and dots&#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64340" cy="2430243"/>
                    </a:xfrm>
                    <a:prstGeom prst="rect">
                      <a:avLst/>
                    </a:prstGeom>
                    <a:ln>
                      <a:noFill/>
                    </a:ln>
                    <a:effectLst>
                      <a:outerShdw blurRad="292100" dist="139700" dir="2700000" algn="tl" rotWithShape="0">
                        <a:srgbClr val="333333">
                          <a:alpha val="65000"/>
                        </a:srgbClr>
                      </a:outerShdw>
                    </a:effectLst>
                  </pic:spPr>
                </pic:pic>
              </a:graphicData>
            </a:graphic>
          </wp:inline>
        </w:drawing>
      </w:r>
    </w:p>
    <w:p w14:paraId="4FA02476" w14:textId="6507BC4F" w:rsidR="005449AF" w:rsidRDefault="005449AF" w:rsidP="005449AF">
      <w:pPr>
        <w:pStyle w:val="Caption"/>
        <w:jc w:val="center"/>
        <w:rPr>
          <w:sz w:val="22"/>
          <w:szCs w:val="22"/>
        </w:rPr>
      </w:pPr>
      <w:r w:rsidRPr="005449AF">
        <w:rPr>
          <w:sz w:val="22"/>
          <w:szCs w:val="22"/>
        </w:rPr>
        <w:t>Figure 10: MDS 1.1</w:t>
      </w:r>
      <w:r>
        <w:rPr>
          <w:sz w:val="22"/>
          <w:szCs w:val="22"/>
        </w:rPr>
        <w:t xml:space="preserve"> </w:t>
      </w:r>
      <w:r w:rsidR="005617B5">
        <w:rPr>
          <w:sz w:val="22"/>
          <w:szCs w:val="22"/>
        </w:rPr>
        <w:t>and zoom</w:t>
      </w:r>
    </w:p>
    <w:p w14:paraId="1C509387" w14:textId="7F4D6D1A" w:rsidR="005449AF" w:rsidRDefault="005449AF" w:rsidP="005449AF">
      <w:pPr>
        <w:spacing w:line="480" w:lineRule="auto"/>
        <w:jc w:val="both"/>
        <w:rPr>
          <w:rFonts w:eastAsiaTheme="minorEastAsia"/>
          <w:sz w:val="24"/>
          <w:szCs w:val="24"/>
        </w:rPr>
      </w:pPr>
      <w:r w:rsidRPr="005449AF">
        <w:rPr>
          <w:sz w:val="24"/>
          <w:szCs w:val="24"/>
        </w:rPr>
        <w:lastRenderedPageBreak/>
        <w:t xml:space="preserve">As shown on Figure 10, </w:t>
      </w:r>
      <w:r>
        <w:rPr>
          <w:sz w:val="24"/>
          <w:szCs w:val="24"/>
        </w:rPr>
        <w:t>MDS 1.1</w:t>
      </w:r>
      <w:r w:rsidR="008034CC">
        <w:rPr>
          <w:sz w:val="24"/>
          <w:szCs w:val="24"/>
        </w:rPr>
        <w:t>.</w:t>
      </w:r>
      <w:r>
        <w:rPr>
          <w:sz w:val="24"/>
          <w:szCs w:val="24"/>
        </w:rPr>
        <w:t xml:space="preserve"> makes visible the dissimilarity in seismicity between the last 1.5 hours which includes the magnitude 6.5 earthquake and the other 99 time windows but does not provide much extra information beyond that as there are no clearly distinguishable clusters in the 2-dimensional feature space, apart from some circularity within the main cluster with some </w:t>
      </w:r>
      <w:r w:rsidR="008034CC">
        <w:rPr>
          <w:sz w:val="24"/>
          <w:szCs w:val="24"/>
        </w:rPr>
        <w:t xml:space="preserve">data points more sparsely situated, forming a ring around the centre. Zooming in, the embedding points representing temporarily similar time windows do not appear to cluster together. MDS 1.1. gives a stress value of </w:t>
      </w:r>
      <m:oMath>
        <m:r>
          <w:rPr>
            <w:rFonts w:ascii="Cambria Math" w:hAnsi="Cambria Math"/>
            <w:sz w:val="24"/>
            <w:szCs w:val="24"/>
          </w:rPr>
          <m:t>S= 2.1701*</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16</m:t>
            </m:r>
          </m:sup>
        </m:sSup>
      </m:oMath>
      <w:r w:rsidR="008034CC">
        <w:rPr>
          <w:rFonts w:eastAsiaTheme="minorEastAsia"/>
          <w:sz w:val="24"/>
          <w:szCs w:val="24"/>
        </w:rPr>
        <w:t>.</w:t>
      </w:r>
    </w:p>
    <w:p w14:paraId="5E5F4DBF" w14:textId="77777777" w:rsidR="008034CC" w:rsidRDefault="008034CC" w:rsidP="008034CC">
      <w:pPr>
        <w:keepNext/>
        <w:spacing w:line="240" w:lineRule="auto"/>
        <w:jc w:val="center"/>
      </w:pPr>
      <w:r w:rsidRPr="008034CC">
        <w:rPr>
          <w:rFonts w:ascii="Arial" w:hAnsi="Arial" w:cs="Arial"/>
          <w:noProof/>
          <w:color w:val="000000"/>
          <w:sz w:val="25"/>
          <w:szCs w:val="25"/>
          <w:bdr w:val="none" w:sz="0" w:space="0" w:color="auto" w:frame="1"/>
          <w:shd w:val="clear" w:color="auto" w:fill="FFFFFF"/>
        </w:rPr>
        <w:drawing>
          <wp:inline distT="0" distB="0" distL="0" distR="0" wp14:anchorId="4AB4BD1B" wp14:editId="2D6EDA4E">
            <wp:extent cx="4565650" cy="3468478"/>
            <wp:effectExtent l="152400" t="152400" r="368300" b="360680"/>
            <wp:docPr id="3377839" name="Picture 9"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839" name="Picture 9" descr="A graph with a lin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6322" cy="3476585"/>
                    </a:xfrm>
                    <a:prstGeom prst="rect">
                      <a:avLst/>
                    </a:prstGeom>
                    <a:ln>
                      <a:noFill/>
                    </a:ln>
                    <a:effectLst>
                      <a:outerShdw blurRad="292100" dist="139700" dir="2700000" algn="tl" rotWithShape="0">
                        <a:srgbClr val="333333">
                          <a:alpha val="65000"/>
                        </a:srgbClr>
                      </a:outerShdw>
                    </a:effectLst>
                  </pic:spPr>
                </pic:pic>
              </a:graphicData>
            </a:graphic>
          </wp:inline>
        </w:drawing>
      </w:r>
    </w:p>
    <w:p w14:paraId="09367826" w14:textId="57BA4B78" w:rsidR="008034CC" w:rsidRPr="008034CC" w:rsidRDefault="008034CC" w:rsidP="008034CC">
      <w:pPr>
        <w:pStyle w:val="Caption"/>
        <w:jc w:val="center"/>
        <w:rPr>
          <w:sz w:val="22"/>
          <w:szCs w:val="22"/>
        </w:rPr>
      </w:pPr>
      <w:r w:rsidRPr="008034CC">
        <w:rPr>
          <w:sz w:val="22"/>
          <w:szCs w:val="22"/>
        </w:rPr>
        <w:t xml:space="preserve">Figure 11: MDS 1.1 </w:t>
      </w:r>
      <w:r w:rsidR="006E0A50">
        <w:rPr>
          <w:sz w:val="22"/>
          <w:szCs w:val="22"/>
        </w:rPr>
        <w:t>s</w:t>
      </w:r>
      <w:r w:rsidRPr="008034CC">
        <w:rPr>
          <w:sz w:val="22"/>
          <w:szCs w:val="22"/>
        </w:rPr>
        <w:t>cree plot</w:t>
      </w:r>
    </w:p>
    <w:p w14:paraId="3186F29D" w14:textId="05AD2489" w:rsidR="008034CC" w:rsidRPr="008034CC" w:rsidRDefault="008034CC" w:rsidP="008034CC">
      <w:pPr>
        <w:spacing w:line="240" w:lineRule="auto"/>
        <w:rPr>
          <w:rFonts w:eastAsiaTheme="minorEastAsia"/>
          <w:sz w:val="24"/>
          <w:szCs w:val="24"/>
        </w:rPr>
      </w:pPr>
      <w:r w:rsidRPr="008034CC">
        <w:rPr>
          <w:rFonts w:ascii="Arial" w:hAnsi="Arial" w:cs="Arial"/>
          <w:noProof/>
          <w:color w:val="000000"/>
          <w:sz w:val="25"/>
          <w:szCs w:val="25"/>
          <w:bdr w:val="none" w:sz="0" w:space="0" w:color="auto" w:frame="1"/>
          <w:shd w:val="clear" w:color="auto" w:fill="FFFFFF"/>
        </w:rPr>
        <w:t xml:space="preserve"> </w:t>
      </w:r>
    </w:p>
    <w:p w14:paraId="626AD966" w14:textId="3145A320" w:rsidR="008034CC" w:rsidRDefault="008034CC" w:rsidP="005449AF">
      <w:pPr>
        <w:spacing w:line="480" w:lineRule="auto"/>
        <w:jc w:val="both"/>
        <w:rPr>
          <w:sz w:val="24"/>
          <w:szCs w:val="24"/>
        </w:rPr>
      </w:pPr>
      <w:r>
        <w:rPr>
          <w:sz w:val="24"/>
          <w:szCs w:val="24"/>
        </w:rPr>
        <w:t>The scree plot for MDS 1.1 suggests a relatively slow</w:t>
      </w:r>
      <w:r w:rsidR="006E0A50">
        <w:rPr>
          <w:sz w:val="24"/>
          <w:szCs w:val="24"/>
        </w:rPr>
        <w:t xml:space="preserve"> but steady</w:t>
      </w:r>
      <w:r>
        <w:rPr>
          <w:sz w:val="24"/>
          <w:szCs w:val="24"/>
        </w:rPr>
        <w:t xml:space="preserve"> </w:t>
      </w:r>
      <w:r w:rsidR="006E0A50">
        <w:rPr>
          <w:sz w:val="24"/>
          <w:szCs w:val="24"/>
        </w:rPr>
        <w:t>decrease in stress value as the number of embedding dimensions increases.</w:t>
      </w:r>
    </w:p>
    <w:p w14:paraId="76E025F2" w14:textId="77777777" w:rsidR="006E0A50" w:rsidRDefault="006E0A50" w:rsidP="005449AF">
      <w:pPr>
        <w:spacing w:line="480" w:lineRule="auto"/>
        <w:jc w:val="both"/>
        <w:rPr>
          <w:sz w:val="24"/>
          <w:szCs w:val="24"/>
        </w:rPr>
      </w:pPr>
    </w:p>
    <w:p w14:paraId="376B9C82" w14:textId="6390E59F" w:rsidR="006E0A50" w:rsidRDefault="006E0A50" w:rsidP="005449AF">
      <w:pPr>
        <w:spacing w:line="480" w:lineRule="auto"/>
        <w:jc w:val="both"/>
        <w:rPr>
          <w:b/>
          <w:bCs/>
          <w:sz w:val="24"/>
          <w:szCs w:val="24"/>
        </w:rPr>
      </w:pPr>
      <w:r>
        <w:rPr>
          <w:b/>
          <w:bCs/>
          <w:sz w:val="24"/>
          <w:szCs w:val="24"/>
        </w:rPr>
        <w:lastRenderedPageBreak/>
        <w:t>Scaling 1.2</w:t>
      </w:r>
    </w:p>
    <w:p w14:paraId="6B35BD64" w14:textId="038ECAFA" w:rsidR="006E0A50" w:rsidRDefault="006E0A50" w:rsidP="005449AF">
      <w:pPr>
        <w:spacing w:line="480" w:lineRule="auto"/>
        <w:jc w:val="both"/>
        <w:rPr>
          <w:rFonts w:eastAsiaTheme="minorEastAsia"/>
          <w:sz w:val="24"/>
          <w:szCs w:val="24"/>
        </w:rPr>
      </w:pPr>
      <w:r>
        <w:rPr>
          <w:sz w:val="24"/>
          <w:szCs w:val="24"/>
        </w:rPr>
        <w:t xml:space="preserve">The second scaling keeps the entire 750 hours as the original data but creates </w:t>
      </w:r>
      <m:oMath>
        <m:r>
          <w:rPr>
            <w:rFonts w:ascii="Cambria Math" w:hAnsi="Cambria Math"/>
            <w:sz w:val="24"/>
            <w:szCs w:val="24"/>
          </w:rPr>
          <m:t>N=1000</m:t>
        </m:r>
      </m:oMath>
      <w:r>
        <w:rPr>
          <w:sz w:val="24"/>
          <w:szCs w:val="24"/>
        </w:rPr>
        <w:t xml:space="preserve"> objects of </w:t>
      </w:r>
      <m:oMath>
        <m:r>
          <w:rPr>
            <w:rFonts w:ascii="Cambria Math" w:hAnsi="Cambria Math"/>
            <w:sz w:val="24"/>
            <w:szCs w:val="24"/>
          </w:rPr>
          <m:t>M=</m:t>
        </m:r>
        <m:f>
          <m:fPr>
            <m:ctrlPr>
              <w:rPr>
                <w:rFonts w:ascii="Cambria Math" w:hAnsi="Cambria Math"/>
                <w:i/>
                <w:sz w:val="24"/>
                <w:szCs w:val="24"/>
              </w:rPr>
            </m:ctrlPr>
          </m:fPr>
          <m:num>
            <m:r>
              <w:rPr>
                <w:rFonts w:ascii="Cambria Math" w:hAnsi="Cambria Math"/>
                <w:sz w:val="24"/>
                <w:szCs w:val="24"/>
              </w:rPr>
              <m:t>270000000</m:t>
            </m:r>
          </m:num>
          <m:den>
            <m:r>
              <w:rPr>
                <w:rFonts w:ascii="Cambria Math" w:hAnsi="Cambria Math"/>
                <w:sz w:val="24"/>
                <w:szCs w:val="24"/>
              </w:rPr>
              <m:t>1000</m:t>
            </m:r>
          </m:den>
        </m:f>
        <m:r>
          <w:rPr>
            <w:rFonts w:ascii="Cambria Math" w:hAnsi="Cambria Math"/>
            <w:sz w:val="24"/>
            <w:szCs w:val="24"/>
          </w:rPr>
          <m:t>=270000</m:t>
        </m:r>
      </m:oMath>
      <w:r>
        <w:rPr>
          <w:rFonts w:eastAsiaTheme="minorEastAsia"/>
          <w:sz w:val="24"/>
          <w:szCs w:val="24"/>
        </w:rPr>
        <w:t xml:space="preserve"> dimensions (270000 samples), </w:t>
      </w:r>
      <w:r w:rsidR="004E0BCD">
        <w:rPr>
          <w:rFonts w:eastAsiaTheme="minorEastAsia"/>
          <w:sz w:val="24"/>
          <w:szCs w:val="24"/>
        </w:rPr>
        <w:t>building</w:t>
      </w:r>
      <w:r w:rsidRPr="006E0A50">
        <w:rPr>
          <w:rFonts w:eastAsiaTheme="minorEastAsia"/>
          <w:sz w:val="24"/>
          <w:szCs w:val="24"/>
        </w:rPr>
        <w:t xml:space="preserve"> a 2-dimensional feature space with each embedding point corresponding to </w:t>
      </w:r>
      <w:r>
        <w:rPr>
          <w:rFonts w:eastAsiaTheme="minorEastAsia"/>
          <w:sz w:val="24"/>
          <w:szCs w:val="24"/>
        </w:rPr>
        <w:t>45 minutes</w:t>
      </w:r>
      <w:r w:rsidRPr="006E0A50">
        <w:rPr>
          <w:rFonts w:eastAsiaTheme="minorEastAsia"/>
          <w:sz w:val="24"/>
          <w:szCs w:val="24"/>
        </w:rPr>
        <w:t xml:space="preserve"> of data</w:t>
      </w:r>
      <w:r>
        <w:rPr>
          <w:rFonts w:eastAsiaTheme="minorEastAsia"/>
          <w:sz w:val="24"/>
          <w:szCs w:val="24"/>
        </w:rPr>
        <w:t xml:space="preserve"> for more temporal specificity</w:t>
      </w:r>
      <w:r w:rsidRPr="006E0A50">
        <w:rPr>
          <w:rFonts w:eastAsiaTheme="minorEastAsia"/>
          <w:sz w:val="24"/>
          <w:szCs w:val="24"/>
        </w:rPr>
        <w:t>.</w:t>
      </w:r>
    </w:p>
    <w:p w14:paraId="1213B2D0" w14:textId="77777777" w:rsidR="00CB7A23" w:rsidRDefault="006E0A50" w:rsidP="00CB7A23">
      <w:pPr>
        <w:keepNext/>
        <w:spacing w:line="240" w:lineRule="auto"/>
        <w:jc w:val="center"/>
      </w:pPr>
      <w:r w:rsidRPr="006E0A50">
        <w:rPr>
          <w:noProof/>
          <w:sz w:val="24"/>
          <w:szCs w:val="24"/>
        </w:rPr>
        <w:drawing>
          <wp:inline distT="0" distB="0" distL="0" distR="0" wp14:anchorId="00C9B05F" wp14:editId="5DD56265">
            <wp:extent cx="5323371" cy="2470150"/>
            <wp:effectExtent l="152400" t="152400" r="353695" b="368300"/>
            <wp:docPr id="515668053" name="Picture 10" descr="A graph with a yellow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68053" name="Picture 10" descr="A graph with a yellow circle&#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24354" cy="2470606"/>
                    </a:xfrm>
                    <a:prstGeom prst="rect">
                      <a:avLst/>
                    </a:prstGeom>
                    <a:ln>
                      <a:noFill/>
                    </a:ln>
                    <a:effectLst>
                      <a:outerShdw blurRad="292100" dist="139700" dir="2700000" algn="tl" rotWithShape="0">
                        <a:srgbClr val="333333">
                          <a:alpha val="65000"/>
                        </a:srgbClr>
                      </a:outerShdw>
                    </a:effectLst>
                  </pic:spPr>
                </pic:pic>
              </a:graphicData>
            </a:graphic>
          </wp:inline>
        </w:drawing>
      </w:r>
      <w:r w:rsidR="00CB7A23">
        <w:rPr>
          <w:sz w:val="24"/>
          <w:szCs w:val="24"/>
        </w:rPr>
        <w:br/>
      </w:r>
      <w:r w:rsidR="00CB7A23" w:rsidRPr="00CB7A23">
        <w:rPr>
          <w:noProof/>
          <w:sz w:val="24"/>
          <w:szCs w:val="24"/>
        </w:rPr>
        <w:drawing>
          <wp:inline distT="0" distB="0" distL="0" distR="0" wp14:anchorId="129DF82F" wp14:editId="611A019E">
            <wp:extent cx="5342573" cy="2508250"/>
            <wp:effectExtent l="152400" t="152400" r="353695" b="368300"/>
            <wp:docPr id="1585021988" name="Picture 11" descr="A graph showing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21988" name="Picture 11" descr="A graph showing a number of dots&#10;&#10;Description automatically generated with medium confiden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53525" cy="2513392"/>
                    </a:xfrm>
                    <a:prstGeom prst="rect">
                      <a:avLst/>
                    </a:prstGeom>
                    <a:ln>
                      <a:noFill/>
                    </a:ln>
                    <a:effectLst>
                      <a:outerShdw blurRad="292100" dist="139700" dir="2700000" algn="tl" rotWithShape="0">
                        <a:srgbClr val="333333">
                          <a:alpha val="65000"/>
                        </a:srgbClr>
                      </a:outerShdw>
                    </a:effectLst>
                  </pic:spPr>
                </pic:pic>
              </a:graphicData>
            </a:graphic>
          </wp:inline>
        </w:drawing>
      </w:r>
    </w:p>
    <w:p w14:paraId="18BFA31E" w14:textId="1DB62282" w:rsidR="00CB7A23" w:rsidRDefault="00CB7A23" w:rsidP="00CB7A23">
      <w:pPr>
        <w:pStyle w:val="Caption"/>
        <w:jc w:val="center"/>
        <w:rPr>
          <w:sz w:val="22"/>
          <w:szCs w:val="22"/>
        </w:rPr>
      </w:pPr>
      <w:r w:rsidRPr="00CB7A23">
        <w:rPr>
          <w:sz w:val="22"/>
          <w:szCs w:val="22"/>
        </w:rPr>
        <w:t xml:space="preserve">Figure 12: MDS </w:t>
      </w:r>
      <w:r>
        <w:rPr>
          <w:sz w:val="22"/>
          <w:szCs w:val="22"/>
        </w:rPr>
        <w:t>1</w:t>
      </w:r>
      <w:r w:rsidRPr="00CB7A23">
        <w:rPr>
          <w:sz w:val="22"/>
          <w:szCs w:val="22"/>
        </w:rPr>
        <w:t>.2</w:t>
      </w:r>
      <w:r w:rsidR="005617B5">
        <w:rPr>
          <w:sz w:val="22"/>
          <w:szCs w:val="22"/>
        </w:rPr>
        <w:t xml:space="preserve"> and zoom</w:t>
      </w:r>
    </w:p>
    <w:p w14:paraId="34D60898" w14:textId="4F798279" w:rsidR="00CB7A23" w:rsidRDefault="00CB7A23" w:rsidP="00CB7A23">
      <w:pPr>
        <w:spacing w:line="480" w:lineRule="auto"/>
        <w:jc w:val="both"/>
        <w:rPr>
          <w:sz w:val="24"/>
          <w:szCs w:val="24"/>
        </w:rPr>
      </w:pPr>
      <w:r>
        <w:rPr>
          <w:sz w:val="24"/>
          <w:szCs w:val="24"/>
        </w:rPr>
        <w:lastRenderedPageBreak/>
        <w:t xml:space="preserve">Figure 12 on the previous page uses a colour scale to represent the temporality of the embedding points, however, the sole improvement upon MDS 1.2 is that there are two outliers representing the earthquake period, but the rest are still forming a single cluster, which does not show distinguishable </w:t>
      </w:r>
      <w:r w:rsidR="00651523">
        <w:rPr>
          <w:sz w:val="24"/>
          <w:szCs w:val="24"/>
        </w:rPr>
        <w:t xml:space="preserve">subclusters or colour groupings. </w:t>
      </w:r>
      <w:r>
        <w:rPr>
          <w:sz w:val="24"/>
          <w:szCs w:val="24"/>
        </w:rPr>
        <w:t xml:space="preserve"> </w:t>
      </w:r>
      <w:r w:rsidR="00651523" w:rsidRPr="00651523">
        <w:rPr>
          <w:sz w:val="24"/>
          <w:szCs w:val="24"/>
        </w:rPr>
        <w:t>MDS 1.</w:t>
      </w:r>
      <w:r w:rsidR="00651523">
        <w:rPr>
          <w:sz w:val="24"/>
          <w:szCs w:val="24"/>
        </w:rPr>
        <w:t>2</w:t>
      </w:r>
      <w:r w:rsidR="00651523" w:rsidRPr="00651523">
        <w:rPr>
          <w:sz w:val="24"/>
          <w:szCs w:val="24"/>
        </w:rPr>
        <w:t xml:space="preserve">. gives a stress value of </w:t>
      </w:r>
      <m:oMath>
        <m:r>
          <w:rPr>
            <w:rFonts w:ascii="Cambria Math" w:hAnsi="Cambria Math"/>
            <w:sz w:val="24"/>
            <w:szCs w:val="24"/>
          </w:rPr>
          <m:t>S= 2.1103*</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16</m:t>
            </m:r>
          </m:sup>
        </m:sSup>
      </m:oMath>
      <w:r w:rsidR="00651523">
        <w:rPr>
          <w:sz w:val="24"/>
          <w:szCs w:val="24"/>
        </w:rPr>
        <w:t>, hardly improving upon MDS 1.1.</w:t>
      </w:r>
    </w:p>
    <w:p w14:paraId="2A0F4DC3" w14:textId="5DC938AE" w:rsidR="00651523" w:rsidRDefault="00651523" w:rsidP="00CB7A23">
      <w:pPr>
        <w:spacing w:line="480" w:lineRule="auto"/>
        <w:jc w:val="both"/>
        <w:rPr>
          <w:b/>
          <w:bCs/>
          <w:sz w:val="24"/>
          <w:szCs w:val="24"/>
        </w:rPr>
      </w:pPr>
      <w:r>
        <w:rPr>
          <w:b/>
          <w:bCs/>
          <w:sz w:val="24"/>
          <w:szCs w:val="24"/>
        </w:rPr>
        <w:t>Scaling 1.3</w:t>
      </w:r>
    </w:p>
    <w:p w14:paraId="3B7EB553" w14:textId="227F6425" w:rsidR="00651523" w:rsidRDefault="00651523" w:rsidP="00CB7A23">
      <w:pPr>
        <w:spacing w:line="480" w:lineRule="auto"/>
        <w:jc w:val="both"/>
        <w:rPr>
          <w:sz w:val="24"/>
          <w:szCs w:val="24"/>
        </w:rPr>
      </w:pPr>
      <w:r>
        <w:rPr>
          <w:sz w:val="24"/>
          <w:szCs w:val="24"/>
        </w:rPr>
        <w:t xml:space="preserve">The third scaling takes a different analytical approach by adding a categorical variable distinguishing between daytime and nighttime periods of the last 30 days </w:t>
      </w:r>
      <w:r w:rsidR="007B4A3B">
        <w:rPr>
          <w:sz w:val="24"/>
          <w:szCs w:val="24"/>
        </w:rPr>
        <w:t xml:space="preserve">(720 hours) </w:t>
      </w:r>
      <w:r>
        <w:rPr>
          <w:sz w:val="24"/>
          <w:szCs w:val="24"/>
        </w:rPr>
        <w:t>of the data</w:t>
      </w:r>
      <w:r w:rsidR="007B4A3B">
        <w:rPr>
          <w:sz w:val="24"/>
          <w:szCs w:val="24"/>
        </w:rPr>
        <w:t xml:space="preserve">, thus creating </w:t>
      </w:r>
      <m:oMath>
        <m:r>
          <w:rPr>
            <w:rFonts w:ascii="Cambria Math" w:hAnsi="Cambria Math"/>
            <w:sz w:val="24"/>
            <w:szCs w:val="24"/>
          </w:rPr>
          <m:t>N=60</m:t>
        </m:r>
      </m:oMath>
      <w:r w:rsidR="007B4A3B" w:rsidRPr="007B4A3B">
        <w:rPr>
          <w:sz w:val="24"/>
          <w:szCs w:val="24"/>
        </w:rPr>
        <w:t xml:space="preserve"> objects of </w:t>
      </w:r>
      <m:oMath>
        <m:r>
          <w:rPr>
            <w:rFonts w:ascii="Cambria Math" w:hAnsi="Cambria Math"/>
            <w:sz w:val="24"/>
            <w:szCs w:val="24"/>
          </w:rPr>
          <m:t>M=</m:t>
        </m:r>
        <m:f>
          <m:fPr>
            <m:ctrlPr>
              <w:rPr>
                <w:rFonts w:ascii="Cambria Math" w:hAnsi="Cambria Math"/>
                <w:i/>
                <w:sz w:val="24"/>
                <w:szCs w:val="24"/>
              </w:rPr>
            </m:ctrlPr>
          </m:fPr>
          <m:num>
            <m:r>
              <w:rPr>
                <w:rFonts w:ascii="Cambria Math" w:hAnsi="Cambria Math"/>
                <w:sz w:val="24"/>
                <w:szCs w:val="24"/>
              </w:rPr>
              <m:t>720*3600*100</m:t>
            </m:r>
          </m:num>
          <m:den>
            <m:r>
              <w:rPr>
                <w:rFonts w:ascii="Cambria Math" w:hAnsi="Cambria Math"/>
                <w:sz w:val="24"/>
                <w:szCs w:val="24"/>
              </w:rPr>
              <m:t>60</m:t>
            </m:r>
          </m:den>
        </m:f>
        <m:r>
          <w:rPr>
            <w:rFonts w:ascii="Cambria Math" w:hAnsi="Cambria Math"/>
            <w:sz w:val="24"/>
            <w:szCs w:val="24"/>
          </w:rPr>
          <m:t>=4320000</m:t>
        </m:r>
      </m:oMath>
      <w:r w:rsidR="007B4A3B" w:rsidRPr="007B4A3B">
        <w:rPr>
          <w:sz w:val="24"/>
          <w:szCs w:val="24"/>
        </w:rPr>
        <w:t xml:space="preserve"> dimensions</w:t>
      </w:r>
      <w:r w:rsidR="007B4A3B">
        <w:rPr>
          <w:sz w:val="24"/>
          <w:szCs w:val="24"/>
        </w:rPr>
        <w:t xml:space="preserve">, constructing </w:t>
      </w:r>
      <w:r w:rsidR="007B4A3B" w:rsidRPr="007B4A3B">
        <w:rPr>
          <w:sz w:val="24"/>
          <w:szCs w:val="24"/>
        </w:rPr>
        <w:t xml:space="preserve"> a 2-dimensional feature space with each embedding point corresponding to </w:t>
      </w:r>
      <w:r w:rsidR="007B4A3B">
        <w:rPr>
          <w:sz w:val="24"/>
          <w:szCs w:val="24"/>
        </w:rPr>
        <w:t xml:space="preserve">12 hours of data recorded from 9 am until 9 pm or vice versa, in order to examine whether, despite the filter applied, the effect of </w:t>
      </w:r>
      <w:r w:rsidR="00DC61E3">
        <w:rPr>
          <w:sz w:val="24"/>
          <w:szCs w:val="24"/>
        </w:rPr>
        <w:t xml:space="preserve">increased daytime </w:t>
      </w:r>
      <w:r w:rsidR="007B4A3B">
        <w:rPr>
          <w:sz w:val="24"/>
          <w:szCs w:val="24"/>
        </w:rPr>
        <w:t xml:space="preserve">human </w:t>
      </w:r>
      <w:r w:rsidR="00125653">
        <w:rPr>
          <w:sz w:val="24"/>
          <w:szCs w:val="24"/>
        </w:rPr>
        <w:t xml:space="preserve">and industrial </w:t>
      </w:r>
      <w:r w:rsidR="007B4A3B">
        <w:rPr>
          <w:sz w:val="24"/>
          <w:szCs w:val="24"/>
        </w:rPr>
        <w:t>activity can be detected in the observed seismicity</w:t>
      </w:r>
      <w:r w:rsidR="007B4A3B" w:rsidRPr="007B4A3B">
        <w:rPr>
          <w:sz w:val="24"/>
          <w:szCs w:val="24"/>
        </w:rPr>
        <w:t>.</w:t>
      </w:r>
    </w:p>
    <w:p w14:paraId="7CE53B03" w14:textId="77777777" w:rsidR="00DC61E3" w:rsidRDefault="00DC61E3" w:rsidP="00DC61E3">
      <w:pPr>
        <w:keepNext/>
        <w:spacing w:line="240" w:lineRule="auto"/>
        <w:jc w:val="center"/>
      </w:pPr>
      <w:r w:rsidRPr="00DC61E3">
        <w:rPr>
          <w:noProof/>
          <w:sz w:val="24"/>
          <w:szCs w:val="24"/>
        </w:rPr>
        <w:drawing>
          <wp:inline distT="0" distB="0" distL="0" distR="0" wp14:anchorId="129A70D1" wp14:editId="38382BEA">
            <wp:extent cx="5721350" cy="2657602"/>
            <wp:effectExtent l="152400" t="152400" r="355600" b="371475"/>
            <wp:docPr id="1500862516" name="Picture 12" descr="A graph with number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62516" name="Picture 12" descr="A graph with numbers and dots&#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9045" cy="2665821"/>
                    </a:xfrm>
                    <a:prstGeom prst="rect">
                      <a:avLst/>
                    </a:prstGeom>
                    <a:ln>
                      <a:noFill/>
                    </a:ln>
                    <a:effectLst>
                      <a:outerShdw blurRad="292100" dist="139700" dir="2700000" algn="tl" rotWithShape="0">
                        <a:srgbClr val="333333">
                          <a:alpha val="65000"/>
                        </a:srgbClr>
                      </a:outerShdw>
                    </a:effectLst>
                  </pic:spPr>
                </pic:pic>
              </a:graphicData>
            </a:graphic>
          </wp:inline>
        </w:drawing>
      </w:r>
    </w:p>
    <w:p w14:paraId="3B485809" w14:textId="41AB4A8F" w:rsidR="00DC61E3" w:rsidRPr="00DC61E3" w:rsidRDefault="00DC61E3" w:rsidP="00DC61E3">
      <w:pPr>
        <w:pStyle w:val="Caption"/>
        <w:jc w:val="center"/>
        <w:rPr>
          <w:sz w:val="22"/>
          <w:szCs w:val="22"/>
        </w:rPr>
      </w:pPr>
      <w:r w:rsidRPr="00DC61E3">
        <w:rPr>
          <w:sz w:val="22"/>
          <w:szCs w:val="22"/>
        </w:rPr>
        <w:t>Figure 12: MDS 1.3</w:t>
      </w:r>
    </w:p>
    <w:p w14:paraId="7BF6AA47" w14:textId="5A48E85D" w:rsidR="00DC61E3" w:rsidRDefault="00DC61E3" w:rsidP="00CB7A23">
      <w:pPr>
        <w:spacing w:line="480" w:lineRule="auto"/>
        <w:jc w:val="both"/>
        <w:rPr>
          <w:sz w:val="24"/>
          <w:szCs w:val="24"/>
        </w:rPr>
      </w:pPr>
      <w:r>
        <w:rPr>
          <w:sz w:val="24"/>
          <w:szCs w:val="24"/>
        </w:rPr>
        <w:lastRenderedPageBreak/>
        <w:t>In an improved clustering result compared to MDS 1.1</w:t>
      </w:r>
      <w:r w:rsidR="00D27B81">
        <w:rPr>
          <w:sz w:val="24"/>
          <w:szCs w:val="24"/>
        </w:rPr>
        <w:t>.</w:t>
      </w:r>
      <w:r>
        <w:rPr>
          <w:sz w:val="24"/>
          <w:szCs w:val="24"/>
        </w:rPr>
        <w:t xml:space="preserve"> and 1.2</w:t>
      </w:r>
      <w:r w:rsidR="00D27B81">
        <w:rPr>
          <w:sz w:val="24"/>
          <w:szCs w:val="24"/>
        </w:rPr>
        <w:t>.</w:t>
      </w:r>
      <w:r>
        <w:rPr>
          <w:sz w:val="24"/>
          <w:szCs w:val="24"/>
        </w:rPr>
        <w:t>, Figure 12 shows that the daytime/nighttime differentiated scaling creates two distinguishable clusters, with embedding points representing daytime periods somewhat more closely clustered together and the 60</w:t>
      </w:r>
      <w:r w:rsidRPr="00DC61E3">
        <w:rPr>
          <w:sz w:val="24"/>
          <w:szCs w:val="24"/>
          <w:vertAlign w:val="superscript"/>
        </w:rPr>
        <w:t>th</w:t>
      </w:r>
      <w:r>
        <w:rPr>
          <w:sz w:val="24"/>
          <w:szCs w:val="24"/>
        </w:rPr>
        <w:t xml:space="preserve"> nighttime period, which includes the earthquake, being the sole outlier</w:t>
      </w:r>
      <w:r w:rsidR="00D27B81">
        <w:rPr>
          <w:sz w:val="24"/>
          <w:szCs w:val="24"/>
        </w:rPr>
        <w:t xml:space="preserve">, suggesting that multidimensional scaling is a useful tool for detecting day/night patterns of seismicity.  </w:t>
      </w:r>
      <w:r w:rsidR="00D27B81" w:rsidRPr="00D27B81">
        <w:rPr>
          <w:sz w:val="24"/>
          <w:szCs w:val="24"/>
        </w:rPr>
        <w:t>MDS 1.</w:t>
      </w:r>
      <w:r w:rsidR="00D27B81">
        <w:rPr>
          <w:sz w:val="24"/>
          <w:szCs w:val="24"/>
        </w:rPr>
        <w:t>3</w:t>
      </w:r>
      <w:r w:rsidR="00D27B81" w:rsidRPr="00D27B81">
        <w:rPr>
          <w:sz w:val="24"/>
          <w:szCs w:val="24"/>
        </w:rPr>
        <w:t xml:space="preserve">. gives a stress value of </w:t>
      </w:r>
      <m:oMath>
        <m:r>
          <w:rPr>
            <w:rFonts w:ascii="Cambria Math" w:hAnsi="Cambria Math"/>
            <w:sz w:val="24"/>
            <w:szCs w:val="24"/>
          </w:rPr>
          <m:t>S= 2.1803*</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16</m:t>
            </m:r>
          </m:sup>
        </m:sSup>
      </m:oMath>
      <w:r w:rsidR="00D27B81" w:rsidRPr="00D27B81">
        <w:rPr>
          <w:sz w:val="24"/>
          <w:szCs w:val="24"/>
        </w:rPr>
        <w:t xml:space="preserve">, </w:t>
      </w:r>
      <w:r w:rsidR="00D27B81">
        <w:rPr>
          <w:sz w:val="24"/>
          <w:szCs w:val="24"/>
        </w:rPr>
        <w:t xml:space="preserve">a similar </w:t>
      </w:r>
      <w:r w:rsidR="00125653">
        <w:rPr>
          <w:sz w:val="24"/>
          <w:szCs w:val="24"/>
        </w:rPr>
        <w:t>figure</w:t>
      </w:r>
      <w:r w:rsidR="00D27B81">
        <w:rPr>
          <w:sz w:val="24"/>
          <w:szCs w:val="24"/>
        </w:rPr>
        <w:t xml:space="preserve"> to that of the previous two models.</w:t>
      </w:r>
    </w:p>
    <w:p w14:paraId="4F1843DB" w14:textId="554B848E" w:rsidR="00D27B81" w:rsidRDefault="00D27B81" w:rsidP="00CB7A23">
      <w:pPr>
        <w:spacing w:line="480" w:lineRule="auto"/>
        <w:jc w:val="both"/>
        <w:rPr>
          <w:b/>
          <w:bCs/>
          <w:sz w:val="24"/>
          <w:szCs w:val="24"/>
        </w:rPr>
      </w:pPr>
      <w:r>
        <w:rPr>
          <w:b/>
          <w:bCs/>
          <w:sz w:val="24"/>
          <w:szCs w:val="24"/>
        </w:rPr>
        <w:t>Scaling 1.4</w:t>
      </w:r>
    </w:p>
    <w:p w14:paraId="3C27C845" w14:textId="0B0F9712" w:rsidR="00D27B81" w:rsidRDefault="00D27B81" w:rsidP="00CB7A23">
      <w:pPr>
        <w:spacing w:line="480" w:lineRule="auto"/>
        <w:jc w:val="both"/>
        <w:rPr>
          <w:sz w:val="24"/>
          <w:szCs w:val="24"/>
        </w:rPr>
      </w:pPr>
      <w:r>
        <w:rPr>
          <w:sz w:val="24"/>
          <w:szCs w:val="24"/>
        </w:rPr>
        <w:t xml:space="preserve">The fourth scaling is the 3-dimensional representation </w:t>
      </w:r>
      <m:oMath>
        <m:r>
          <w:rPr>
            <w:rFonts w:ascii="Cambria Math" w:hAnsi="Cambria Math"/>
            <w:sz w:val="24"/>
            <w:szCs w:val="24"/>
          </w:rPr>
          <m:t>(k=3)</m:t>
        </m:r>
      </m:oMath>
      <w:r>
        <w:rPr>
          <w:sz w:val="24"/>
          <w:szCs w:val="24"/>
        </w:rPr>
        <w:t xml:space="preserve"> of MDS 1.3. with the same timescale and parameters.</w:t>
      </w:r>
    </w:p>
    <w:p w14:paraId="21A62460" w14:textId="77777777" w:rsidR="00125653" w:rsidRDefault="00D27B81" w:rsidP="00125653">
      <w:pPr>
        <w:keepNext/>
        <w:spacing w:line="240" w:lineRule="auto"/>
        <w:jc w:val="center"/>
      </w:pPr>
      <w:r w:rsidRPr="00D27B81">
        <w:rPr>
          <w:noProof/>
          <w:sz w:val="24"/>
          <w:szCs w:val="24"/>
        </w:rPr>
        <w:drawing>
          <wp:inline distT="0" distB="0" distL="0" distR="0" wp14:anchorId="529B6B73" wp14:editId="61068BFA">
            <wp:extent cx="5822950" cy="2881435"/>
            <wp:effectExtent l="152400" t="152400" r="368300" b="357505"/>
            <wp:docPr id="1065224855" name="Picture 13" descr="A graph showing a number of different colore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24855" name="Picture 13" descr="A graph showing a number of different colored dots&#10;&#10;Description automatically generated with medium confiden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72820" cy="2906113"/>
                    </a:xfrm>
                    <a:prstGeom prst="rect">
                      <a:avLst/>
                    </a:prstGeom>
                    <a:ln>
                      <a:noFill/>
                    </a:ln>
                    <a:effectLst>
                      <a:outerShdw blurRad="292100" dist="139700" dir="2700000" algn="tl" rotWithShape="0">
                        <a:srgbClr val="333333">
                          <a:alpha val="65000"/>
                        </a:srgbClr>
                      </a:outerShdw>
                    </a:effectLst>
                  </pic:spPr>
                </pic:pic>
              </a:graphicData>
            </a:graphic>
          </wp:inline>
        </w:drawing>
      </w:r>
    </w:p>
    <w:p w14:paraId="0447F43D" w14:textId="480FD74A" w:rsidR="00D27B81" w:rsidRPr="00125653" w:rsidRDefault="00125653" w:rsidP="00125653">
      <w:pPr>
        <w:pStyle w:val="Caption"/>
        <w:jc w:val="center"/>
        <w:rPr>
          <w:sz w:val="22"/>
          <w:szCs w:val="22"/>
        </w:rPr>
      </w:pPr>
      <w:r w:rsidRPr="00125653">
        <w:rPr>
          <w:sz w:val="22"/>
          <w:szCs w:val="22"/>
        </w:rPr>
        <w:t>Figure 13: MDS 1.4</w:t>
      </w:r>
    </w:p>
    <w:p w14:paraId="1B6652B8" w14:textId="35C4385B" w:rsidR="00D27B81" w:rsidRDefault="00125653" w:rsidP="00CB7A23">
      <w:pPr>
        <w:spacing w:line="480" w:lineRule="auto"/>
        <w:jc w:val="both"/>
        <w:rPr>
          <w:rFonts w:eastAsiaTheme="minorEastAsia"/>
          <w:sz w:val="24"/>
          <w:szCs w:val="24"/>
        </w:rPr>
      </w:pPr>
      <w:r>
        <w:rPr>
          <w:sz w:val="24"/>
          <w:szCs w:val="24"/>
        </w:rPr>
        <w:t xml:space="preserve">Figure 13 represents a similar but more accurate clustering of the time periods, with the stress value of the model decreasing to </w:t>
      </w:r>
      <m:oMath>
        <m:r>
          <w:rPr>
            <w:rFonts w:ascii="Cambria Math" w:hAnsi="Cambria Math"/>
            <w:sz w:val="24"/>
            <w:szCs w:val="24"/>
          </w:rPr>
          <m:t>S= 1.3097*</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16</m:t>
            </m:r>
          </m:sup>
        </m:sSup>
      </m:oMath>
      <w:r>
        <w:rPr>
          <w:rFonts w:eastAsiaTheme="minorEastAsia"/>
          <w:sz w:val="24"/>
          <w:szCs w:val="24"/>
        </w:rPr>
        <w:t xml:space="preserve">, a </w:t>
      </w:r>
      <m:oMath>
        <m:r>
          <w:rPr>
            <w:rFonts w:ascii="Cambria Math" w:eastAsiaTheme="minorEastAsia" w:hAnsi="Cambria Math"/>
            <w:sz w:val="24"/>
            <w:szCs w:val="24"/>
          </w:rPr>
          <m:t>40%</m:t>
        </m:r>
      </m:oMath>
      <w:r>
        <w:rPr>
          <w:rFonts w:eastAsiaTheme="minorEastAsia"/>
          <w:sz w:val="24"/>
          <w:szCs w:val="24"/>
        </w:rPr>
        <w:t xml:space="preserve"> decrease in stress compared to the 2-dimensional model.</w:t>
      </w:r>
    </w:p>
    <w:p w14:paraId="26B1C0A8" w14:textId="6C2F2B31" w:rsidR="00125653" w:rsidRPr="00125653" w:rsidRDefault="00125653" w:rsidP="00125653">
      <w:pPr>
        <w:spacing w:line="480" w:lineRule="auto"/>
        <w:jc w:val="both"/>
        <w:rPr>
          <w:b/>
          <w:bCs/>
          <w:sz w:val="24"/>
          <w:szCs w:val="24"/>
        </w:rPr>
      </w:pPr>
      <w:r w:rsidRPr="00125653">
        <w:rPr>
          <w:b/>
          <w:bCs/>
          <w:sz w:val="24"/>
          <w:szCs w:val="24"/>
        </w:rPr>
        <w:lastRenderedPageBreak/>
        <w:t>Scaling 1.</w:t>
      </w:r>
      <w:r>
        <w:rPr>
          <w:b/>
          <w:bCs/>
          <w:sz w:val="24"/>
          <w:szCs w:val="24"/>
        </w:rPr>
        <w:t>5</w:t>
      </w:r>
    </w:p>
    <w:p w14:paraId="3E0BB3D3" w14:textId="6EBF2947" w:rsidR="00125653" w:rsidRDefault="004E0BCD" w:rsidP="00CB7A23">
      <w:pPr>
        <w:spacing w:line="480" w:lineRule="auto"/>
        <w:jc w:val="both"/>
        <w:rPr>
          <w:sz w:val="24"/>
          <w:szCs w:val="24"/>
        </w:rPr>
      </w:pPr>
      <w:r>
        <w:rPr>
          <w:sz w:val="24"/>
          <w:szCs w:val="24"/>
        </w:rPr>
        <w:t xml:space="preserve">The fifth scaling brings in the focus to the last two hours of the data, which includes the main seismic activity, in order to find patterns and clusters around the earthquake itself. MDS 1.5. breaks down the 120 minutes of data </w:t>
      </w:r>
      <w:r w:rsidRPr="004E0BCD">
        <w:rPr>
          <w:sz w:val="24"/>
          <w:szCs w:val="24"/>
        </w:rPr>
        <w:t xml:space="preserve">into </w:t>
      </w:r>
      <m:oMath>
        <m:r>
          <w:rPr>
            <w:rFonts w:ascii="Cambria Math" w:hAnsi="Cambria Math"/>
            <w:sz w:val="24"/>
            <w:szCs w:val="24"/>
          </w:rPr>
          <m:t>N=120</m:t>
        </m:r>
      </m:oMath>
      <w:r w:rsidRPr="004E0BCD">
        <w:rPr>
          <w:sz w:val="24"/>
          <w:szCs w:val="24"/>
        </w:rPr>
        <w:t xml:space="preserve"> original objects of </w:t>
      </w:r>
      <m:oMath>
        <m:r>
          <w:rPr>
            <w:rFonts w:ascii="Cambria Math" w:hAnsi="Cambria Math"/>
            <w:sz w:val="24"/>
            <w:szCs w:val="24"/>
          </w:rPr>
          <m:t>M=</m:t>
        </m:r>
        <m:f>
          <m:fPr>
            <m:ctrlPr>
              <w:rPr>
                <w:rFonts w:ascii="Cambria Math" w:hAnsi="Cambria Math"/>
                <w:i/>
                <w:sz w:val="24"/>
                <w:szCs w:val="24"/>
              </w:rPr>
            </m:ctrlPr>
          </m:fPr>
          <m:num>
            <m:r>
              <w:rPr>
                <w:rFonts w:ascii="Cambria Math" w:hAnsi="Cambria Math"/>
                <w:sz w:val="24"/>
                <w:szCs w:val="24"/>
              </w:rPr>
              <m:t>2*3600*100</m:t>
            </m:r>
          </m:num>
          <m:den>
            <m:r>
              <w:rPr>
                <w:rFonts w:ascii="Cambria Math" w:hAnsi="Cambria Math"/>
                <w:sz w:val="24"/>
                <w:szCs w:val="24"/>
              </w:rPr>
              <m:t>120</m:t>
            </m:r>
          </m:den>
        </m:f>
        <m:r>
          <w:rPr>
            <w:rFonts w:ascii="Cambria Math" w:hAnsi="Cambria Math"/>
            <w:sz w:val="24"/>
            <w:szCs w:val="24"/>
          </w:rPr>
          <m:t>=6000</m:t>
        </m:r>
      </m:oMath>
      <w:r w:rsidRPr="004E0BCD">
        <w:rPr>
          <w:sz w:val="24"/>
          <w:szCs w:val="24"/>
        </w:rPr>
        <w:t xml:space="preserve"> dimensions, creating a 2-dimensional </w:t>
      </w:r>
      <w:r w:rsidR="00AE7410">
        <w:rPr>
          <w:sz w:val="24"/>
          <w:szCs w:val="24"/>
        </w:rPr>
        <w:t>embedding</w:t>
      </w:r>
      <w:r w:rsidRPr="004E0BCD">
        <w:rPr>
          <w:sz w:val="24"/>
          <w:szCs w:val="24"/>
        </w:rPr>
        <w:t xml:space="preserve"> space with each embedding point corresponding to </w:t>
      </w:r>
      <w:r>
        <w:rPr>
          <w:sz w:val="24"/>
          <w:szCs w:val="24"/>
        </w:rPr>
        <w:t>1 minute</w:t>
      </w:r>
      <w:r w:rsidRPr="004E0BCD">
        <w:rPr>
          <w:sz w:val="24"/>
          <w:szCs w:val="24"/>
        </w:rPr>
        <w:t xml:space="preserve"> of </w:t>
      </w:r>
      <w:r>
        <w:rPr>
          <w:sz w:val="24"/>
          <w:szCs w:val="24"/>
        </w:rPr>
        <w:t xml:space="preserve">original </w:t>
      </w:r>
      <w:r w:rsidRPr="004E0BCD">
        <w:rPr>
          <w:sz w:val="24"/>
          <w:szCs w:val="24"/>
        </w:rPr>
        <w:t>data.</w:t>
      </w:r>
    </w:p>
    <w:p w14:paraId="5CD68E40" w14:textId="77777777" w:rsidR="00802CE7" w:rsidRDefault="004E0BCD" w:rsidP="00802CE7">
      <w:pPr>
        <w:keepNext/>
        <w:spacing w:line="240" w:lineRule="auto"/>
        <w:jc w:val="center"/>
      </w:pPr>
      <w:r w:rsidRPr="004E0BCD">
        <w:rPr>
          <w:noProof/>
          <w:sz w:val="24"/>
          <w:szCs w:val="24"/>
        </w:rPr>
        <w:drawing>
          <wp:inline distT="0" distB="0" distL="0" distR="0" wp14:anchorId="5CB95F0D" wp14:editId="59289DEC">
            <wp:extent cx="5734050" cy="2857500"/>
            <wp:effectExtent l="152400" t="152400" r="361950" b="361950"/>
            <wp:docPr id="1940790397" name="Picture 14" descr="A graph with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90397" name="Picture 14" descr="A graph with a number of numbers&#10;&#10;Description automatically generated with medium confiden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050" cy="2857500"/>
                    </a:xfrm>
                    <a:prstGeom prst="rect">
                      <a:avLst/>
                    </a:prstGeom>
                    <a:ln>
                      <a:noFill/>
                    </a:ln>
                    <a:effectLst>
                      <a:outerShdw blurRad="292100" dist="139700" dir="2700000" algn="tl" rotWithShape="0">
                        <a:srgbClr val="333333">
                          <a:alpha val="65000"/>
                        </a:srgbClr>
                      </a:outerShdw>
                    </a:effectLst>
                  </pic:spPr>
                </pic:pic>
              </a:graphicData>
            </a:graphic>
          </wp:inline>
        </w:drawing>
      </w:r>
    </w:p>
    <w:p w14:paraId="126EDAB1" w14:textId="77777777" w:rsidR="00802CE7" w:rsidRDefault="00802CE7" w:rsidP="00802CE7">
      <w:pPr>
        <w:pStyle w:val="Caption"/>
        <w:jc w:val="center"/>
        <w:rPr>
          <w:sz w:val="22"/>
          <w:szCs w:val="22"/>
        </w:rPr>
      </w:pPr>
      <w:r w:rsidRPr="00802CE7">
        <w:rPr>
          <w:sz w:val="22"/>
          <w:szCs w:val="22"/>
        </w:rPr>
        <w:t>Figure 14: MDS 1.5.</w:t>
      </w:r>
    </w:p>
    <w:p w14:paraId="4C8BA3CE" w14:textId="01216317" w:rsidR="00802CE7" w:rsidRDefault="00802CE7" w:rsidP="00802CE7">
      <w:pPr>
        <w:spacing w:line="480" w:lineRule="auto"/>
        <w:jc w:val="both"/>
        <w:rPr>
          <w:sz w:val="24"/>
          <w:szCs w:val="24"/>
        </w:rPr>
      </w:pPr>
      <w:r>
        <w:rPr>
          <w:sz w:val="24"/>
          <w:szCs w:val="24"/>
        </w:rPr>
        <w:t>In a similar pattern to MDS 1.1. and 1.2, the fifth scaling also creates a single cluster, however, data points are more closely clustered, pointing to more similar patterns of seismicity around the main seismic event. Outlier data points do not form a cluster as they a widely separated around the main bunch, which suggests MDS 1.5. struggles to identify specific patterns of seismic activity that could be used for short-notice prediction.</w:t>
      </w:r>
      <w:r w:rsidR="00BB26D5">
        <w:rPr>
          <w:sz w:val="24"/>
          <w:szCs w:val="24"/>
        </w:rPr>
        <w:t xml:space="preserve"> The stress value of this model is </w:t>
      </w:r>
      <m:oMath>
        <m:r>
          <w:rPr>
            <w:rFonts w:ascii="Cambria Math" w:hAnsi="Cambria Math"/>
            <w:sz w:val="24"/>
            <w:szCs w:val="24"/>
          </w:rPr>
          <m:t>S= 1.4024*</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13</m:t>
            </m:r>
          </m:sup>
        </m:sSup>
      </m:oMath>
      <w:r w:rsidR="00BB26D5" w:rsidRPr="00BB26D5">
        <w:rPr>
          <w:sz w:val="24"/>
          <w:szCs w:val="24"/>
        </w:rPr>
        <w:t>,</w:t>
      </w:r>
      <w:r w:rsidR="00BB26D5">
        <w:rPr>
          <w:sz w:val="24"/>
          <w:szCs w:val="24"/>
        </w:rPr>
        <w:t xml:space="preserve"> a 1000-fold improvement compared to the previous models which worked with higher original dimensions.</w:t>
      </w:r>
    </w:p>
    <w:p w14:paraId="3D1D9A4F" w14:textId="6BC4AD67" w:rsidR="00BB26D5" w:rsidRDefault="00BB26D5" w:rsidP="00802CE7">
      <w:pPr>
        <w:spacing w:line="480" w:lineRule="auto"/>
        <w:jc w:val="both"/>
        <w:rPr>
          <w:b/>
          <w:bCs/>
          <w:sz w:val="24"/>
          <w:szCs w:val="24"/>
        </w:rPr>
      </w:pPr>
      <w:r>
        <w:rPr>
          <w:b/>
          <w:bCs/>
          <w:sz w:val="24"/>
          <w:szCs w:val="24"/>
        </w:rPr>
        <w:lastRenderedPageBreak/>
        <w:t>Scaling 1.6</w:t>
      </w:r>
    </w:p>
    <w:p w14:paraId="116D810B" w14:textId="0827F83E" w:rsidR="00D029B7" w:rsidRDefault="00BB26D5" w:rsidP="00802CE7">
      <w:pPr>
        <w:spacing w:line="480" w:lineRule="auto"/>
        <w:jc w:val="both"/>
        <w:rPr>
          <w:rFonts w:eastAsiaTheme="minorEastAsia"/>
          <w:sz w:val="24"/>
          <w:szCs w:val="24"/>
        </w:rPr>
      </w:pPr>
      <w:r>
        <w:rPr>
          <w:sz w:val="24"/>
          <w:szCs w:val="24"/>
        </w:rPr>
        <w:t xml:space="preserve">As in the case of MDS 1.2., the sixth model increases the number of time windows from MDS 1.5 to  </w:t>
      </w:r>
      <m:oMath>
        <m:r>
          <w:rPr>
            <w:rFonts w:ascii="Cambria Math" w:hAnsi="Cambria Math"/>
            <w:sz w:val="24"/>
            <w:szCs w:val="24"/>
          </w:rPr>
          <m:t>N=1000</m:t>
        </m:r>
      </m:oMath>
      <w:r>
        <w:rPr>
          <w:rFonts w:eastAsiaTheme="minorEastAsia"/>
          <w:sz w:val="24"/>
          <w:szCs w:val="24"/>
        </w:rPr>
        <w:t xml:space="preserve"> do decrease the number of original dimensions to </w:t>
      </w:r>
      <m:oMath>
        <m:r>
          <w:rPr>
            <w:rFonts w:ascii="Cambria Math" w:eastAsiaTheme="minorEastAsia" w:hAnsi="Cambria Math"/>
            <w:sz w:val="24"/>
            <w:szCs w:val="24"/>
          </w:rPr>
          <m:t>M=</m:t>
        </m:r>
        <m:f>
          <m:fPr>
            <m:ctrlPr>
              <w:rPr>
                <w:rFonts w:ascii="Cambria Math" w:eastAsiaTheme="minorEastAsia" w:hAnsi="Cambria Math"/>
                <w:i/>
                <w:sz w:val="24"/>
                <w:szCs w:val="24"/>
              </w:rPr>
            </m:ctrlPr>
          </m:fPr>
          <m:num>
            <m:r>
              <w:rPr>
                <w:rFonts w:ascii="Cambria Math" w:eastAsiaTheme="minorEastAsia" w:hAnsi="Cambria Math"/>
                <w:sz w:val="24"/>
                <w:szCs w:val="24"/>
              </w:rPr>
              <m:t>2*3600*100</m:t>
            </m:r>
          </m:num>
          <m:den>
            <m:r>
              <w:rPr>
                <w:rFonts w:ascii="Cambria Math" w:eastAsiaTheme="minorEastAsia" w:hAnsi="Cambria Math"/>
                <w:sz w:val="24"/>
                <w:szCs w:val="24"/>
              </w:rPr>
              <m:t>1000</m:t>
            </m:r>
          </m:den>
        </m:f>
        <m:r>
          <w:rPr>
            <w:rFonts w:ascii="Cambria Math" w:eastAsiaTheme="minorEastAsia" w:hAnsi="Cambria Math"/>
            <w:sz w:val="24"/>
            <w:szCs w:val="24"/>
          </w:rPr>
          <m:t>=720</m:t>
        </m:r>
      </m:oMath>
      <w:r w:rsidR="00EA0A60">
        <w:rPr>
          <w:rFonts w:eastAsiaTheme="minorEastAsia"/>
          <w:sz w:val="24"/>
          <w:szCs w:val="24"/>
        </w:rPr>
        <w:t xml:space="preserve">, </w:t>
      </w:r>
      <w:r w:rsidR="00EA0A60" w:rsidRPr="00EA0A60">
        <w:rPr>
          <w:rFonts w:eastAsiaTheme="minorEastAsia"/>
          <w:sz w:val="24"/>
          <w:szCs w:val="24"/>
        </w:rPr>
        <w:t xml:space="preserve">creating a 2-dimensional </w:t>
      </w:r>
      <w:r w:rsidR="00AE7410">
        <w:rPr>
          <w:rFonts w:eastAsiaTheme="minorEastAsia"/>
          <w:sz w:val="24"/>
          <w:szCs w:val="24"/>
        </w:rPr>
        <w:t>embedding</w:t>
      </w:r>
      <w:r w:rsidR="00EA0A60" w:rsidRPr="00EA0A60">
        <w:rPr>
          <w:rFonts w:eastAsiaTheme="minorEastAsia"/>
          <w:sz w:val="24"/>
          <w:szCs w:val="24"/>
        </w:rPr>
        <w:t xml:space="preserve"> space with each embedd</w:t>
      </w:r>
      <w:r w:rsidR="00AE7410">
        <w:rPr>
          <w:rFonts w:eastAsiaTheme="minorEastAsia"/>
          <w:sz w:val="24"/>
          <w:szCs w:val="24"/>
        </w:rPr>
        <w:t>ed</w:t>
      </w:r>
      <w:r w:rsidR="00EA0A60" w:rsidRPr="00EA0A60">
        <w:rPr>
          <w:rFonts w:eastAsiaTheme="minorEastAsia"/>
          <w:sz w:val="24"/>
          <w:szCs w:val="24"/>
        </w:rPr>
        <w:t xml:space="preserve"> point </w:t>
      </w:r>
      <w:r w:rsidR="00EA0A60">
        <w:rPr>
          <w:rFonts w:eastAsiaTheme="minorEastAsia"/>
          <w:sz w:val="24"/>
          <w:szCs w:val="24"/>
        </w:rPr>
        <w:t>representing</w:t>
      </w:r>
      <w:r w:rsidR="00EA0A60" w:rsidRPr="00EA0A60">
        <w:rPr>
          <w:rFonts w:eastAsiaTheme="minorEastAsia"/>
          <w:sz w:val="24"/>
          <w:szCs w:val="24"/>
        </w:rPr>
        <w:t xml:space="preserve"> </w:t>
      </w:r>
      <w:r w:rsidR="00EA0A60">
        <w:rPr>
          <w:rFonts w:eastAsiaTheme="minorEastAsia"/>
          <w:sz w:val="24"/>
          <w:szCs w:val="24"/>
        </w:rPr>
        <w:t>7.2 seconds</w:t>
      </w:r>
      <w:r w:rsidR="00EA0A60" w:rsidRPr="00EA0A60">
        <w:rPr>
          <w:rFonts w:eastAsiaTheme="minorEastAsia"/>
          <w:sz w:val="24"/>
          <w:szCs w:val="24"/>
        </w:rPr>
        <w:t xml:space="preserve"> of original data.</w:t>
      </w:r>
    </w:p>
    <w:p w14:paraId="36377DC6" w14:textId="0446AE6A" w:rsidR="00D029B7" w:rsidRDefault="00D029B7" w:rsidP="00D029B7">
      <w:pPr>
        <w:spacing w:line="240" w:lineRule="auto"/>
        <w:jc w:val="center"/>
        <w:rPr>
          <w:rFonts w:eastAsiaTheme="minorEastAsia"/>
          <w:sz w:val="24"/>
          <w:szCs w:val="24"/>
        </w:rPr>
      </w:pPr>
      <w:r w:rsidRPr="00D029B7">
        <w:rPr>
          <w:rFonts w:eastAsiaTheme="minorEastAsia"/>
          <w:noProof/>
          <w:sz w:val="24"/>
          <w:szCs w:val="24"/>
        </w:rPr>
        <w:drawing>
          <wp:inline distT="0" distB="0" distL="0" distR="0" wp14:anchorId="019F1CBC" wp14:editId="27123485">
            <wp:extent cx="5564247" cy="2705100"/>
            <wp:effectExtent l="152400" t="152400" r="360680" b="361950"/>
            <wp:docPr id="1635979208" name="Picture 1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79208" name="Picture 17" descr="A screenshot of a graph&#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0068" cy="2712792"/>
                    </a:xfrm>
                    <a:prstGeom prst="rect">
                      <a:avLst/>
                    </a:prstGeom>
                    <a:ln>
                      <a:noFill/>
                    </a:ln>
                    <a:effectLst>
                      <a:outerShdw blurRad="292100" dist="139700" dir="2700000" algn="tl" rotWithShape="0">
                        <a:srgbClr val="333333">
                          <a:alpha val="65000"/>
                        </a:srgbClr>
                      </a:outerShdw>
                    </a:effectLst>
                  </pic:spPr>
                </pic:pic>
              </a:graphicData>
            </a:graphic>
          </wp:inline>
        </w:drawing>
      </w:r>
    </w:p>
    <w:p w14:paraId="66DCEB74" w14:textId="77777777" w:rsidR="00D029B7" w:rsidRDefault="00D029B7" w:rsidP="00D029B7">
      <w:pPr>
        <w:keepNext/>
        <w:spacing w:line="240" w:lineRule="auto"/>
        <w:jc w:val="center"/>
      </w:pPr>
      <w:r w:rsidRPr="00D029B7">
        <w:rPr>
          <w:noProof/>
          <w:sz w:val="24"/>
          <w:szCs w:val="24"/>
        </w:rPr>
        <w:drawing>
          <wp:inline distT="0" distB="0" distL="0" distR="0" wp14:anchorId="10DFF060" wp14:editId="7C890769">
            <wp:extent cx="5586908" cy="2338705"/>
            <wp:effectExtent l="152400" t="152400" r="356870" b="366395"/>
            <wp:docPr id="1368514133" name="Picture 15"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14133" name="Picture 15" descr="A screen shot of a graph&#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30375" cy="2356901"/>
                    </a:xfrm>
                    <a:prstGeom prst="rect">
                      <a:avLst/>
                    </a:prstGeom>
                    <a:ln>
                      <a:noFill/>
                    </a:ln>
                    <a:effectLst>
                      <a:outerShdw blurRad="292100" dist="139700" dir="2700000" algn="tl" rotWithShape="0">
                        <a:srgbClr val="333333">
                          <a:alpha val="65000"/>
                        </a:srgbClr>
                      </a:outerShdw>
                    </a:effectLst>
                  </pic:spPr>
                </pic:pic>
              </a:graphicData>
            </a:graphic>
          </wp:inline>
        </w:drawing>
      </w:r>
    </w:p>
    <w:p w14:paraId="6FA4016D" w14:textId="3F045649" w:rsidR="00D029B7" w:rsidRDefault="00D029B7" w:rsidP="00D029B7">
      <w:pPr>
        <w:pStyle w:val="Caption"/>
        <w:jc w:val="center"/>
        <w:rPr>
          <w:sz w:val="22"/>
          <w:szCs w:val="22"/>
        </w:rPr>
      </w:pPr>
      <w:r w:rsidRPr="00D029B7">
        <w:rPr>
          <w:sz w:val="22"/>
          <w:szCs w:val="22"/>
        </w:rPr>
        <w:t>Figure 15: MDS 1.6</w:t>
      </w:r>
      <w:r w:rsidR="005617B5">
        <w:rPr>
          <w:sz w:val="22"/>
          <w:szCs w:val="22"/>
        </w:rPr>
        <w:t xml:space="preserve"> and zoom</w:t>
      </w:r>
    </w:p>
    <w:p w14:paraId="19E9ECFE" w14:textId="34CD14F0" w:rsidR="00D029B7" w:rsidRDefault="00D029B7" w:rsidP="00D029B7">
      <w:pPr>
        <w:spacing w:line="480" w:lineRule="auto"/>
        <w:jc w:val="both"/>
        <w:rPr>
          <w:rFonts w:eastAsiaTheme="minorEastAsia"/>
          <w:sz w:val="24"/>
          <w:szCs w:val="24"/>
        </w:rPr>
      </w:pPr>
      <w:r>
        <w:rPr>
          <w:sz w:val="24"/>
          <w:szCs w:val="24"/>
        </w:rPr>
        <w:lastRenderedPageBreak/>
        <w:t xml:space="preserve">Figure 15, representing the 2-dimensional model shows and even tighter-clustered image, however, </w:t>
      </w:r>
      <w:r w:rsidR="00EC50FD">
        <w:rPr>
          <w:sz w:val="24"/>
          <w:szCs w:val="24"/>
        </w:rPr>
        <w:t>upon closely observing the middle of the cluster it appears that some of the data points at the very end of the 2-hour period, after the main wave, shown in yellow, are closely clustered in the centre, while immediately outside is a ring of magenta embedding points which correspond to an earlier time section around the 45-minute mark. Therefore, there appears some clustering possibility in the model but without an indication of utility for predictive purposes.</w:t>
      </w:r>
      <w:r w:rsidR="00E75313">
        <w:rPr>
          <w:sz w:val="24"/>
          <w:szCs w:val="24"/>
        </w:rPr>
        <w:t xml:space="preserve"> The stress value is </w:t>
      </w:r>
      <m:oMath>
        <m:r>
          <w:rPr>
            <w:rFonts w:ascii="Cambria Math" w:hAnsi="Cambria Math"/>
            <w:sz w:val="24"/>
            <w:szCs w:val="24"/>
          </w:rPr>
          <m:t>S= 1.6853*</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13</m:t>
            </m:r>
          </m:sup>
        </m:sSup>
      </m:oMath>
      <w:r w:rsidR="00E75313">
        <w:rPr>
          <w:rFonts w:eastAsiaTheme="minorEastAsia"/>
          <w:sz w:val="24"/>
          <w:szCs w:val="24"/>
        </w:rPr>
        <w:t>, a minor increase upon MDS 1.5.</w:t>
      </w:r>
    </w:p>
    <w:p w14:paraId="01063CD6" w14:textId="283ED57D" w:rsidR="00E75313" w:rsidRDefault="00E75313" w:rsidP="00D029B7">
      <w:pPr>
        <w:spacing w:line="480" w:lineRule="auto"/>
        <w:jc w:val="both"/>
        <w:rPr>
          <w:rFonts w:eastAsiaTheme="minorEastAsia"/>
          <w:b/>
          <w:bCs/>
          <w:sz w:val="24"/>
          <w:szCs w:val="24"/>
        </w:rPr>
      </w:pPr>
      <w:r>
        <w:rPr>
          <w:rFonts w:eastAsiaTheme="minorEastAsia"/>
          <w:b/>
          <w:bCs/>
          <w:sz w:val="24"/>
          <w:szCs w:val="24"/>
        </w:rPr>
        <w:t>Scaling 1.7</w:t>
      </w:r>
    </w:p>
    <w:p w14:paraId="0BAB994A" w14:textId="4163AFD2" w:rsidR="00E75313" w:rsidRDefault="00E75313" w:rsidP="00D029B7">
      <w:pPr>
        <w:spacing w:line="480" w:lineRule="auto"/>
        <w:jc w:val="both"/>
        <w:rPr>
          <w:rFonts w:eastAsiaTheme="minorEastAsia"/>
          <w:sz w:val="24"/>
          <w:szCs w:val="24"/>
        </w:rPr>
      </w:pPr>
      <w:r>
        <w:rPr>
          <w:rFonts w:eastAsiaTheme="minorEastAsia"/>
          <w:sz w:val="24"/>
          <w:szCs w:val="24"/>
        </w:rPr>
        <w:t xml:space="preserve">The seventh and final model fitted for the Kumamoto earthquake data is the </w:t>
      </w:r>
      <w:r w:rsidRPr="00E75313">
        <w:rPr>
          <w:rFonts w:eastAsiaTheme="minorEastAsia"/>
          <w:sz w:val="24"/>
          <w:szCs w:val="24"/>
        </w:rPr>
        <w:t xml:space="preserve">3-dimensional representation </w:t>
      </w:r>
      <m:oMath>
        <m:r>
          <w:rPr>
            <w:rFonts w:ascii="Cambria Math" w:eastAsiaTheme="minorEastAsia" w:hAnsi="Cambria Math"/>
            <w:sz w:val="24"/>
            <w:szCs w:val="24"/>
          </w:rPr>
          <m:t>(k=3)</m:t>
        </m:r>
      </m:oMath>
      <w:r w:rsidRPr="00E75313">
        <w:rPr>
          <w:rFonts w:eastAsiaTheme="minorEastAsia"/>
          <w:sz w:val="24"/>
          <w:szCs w:val="24"/>
        </w:rPr>
        <w:t xml:space="preserve"> of MDS 1.</w:t>
      </w:r>
      <w:r>
        <w:rPr>
          <w:rFonts w:eastAsiaTheme="minorEastAsia"/>
          <w:sz w:val="24"/>
          <w:szCs w:val="24"/>
        </w:rPr>
        <w:t>6</w:t>
      </w:r>
      <w:r w:rsidRPr="00E75313">
        <w:rPr>
          <w:rFonts w:eastAsiaTheme="minorEastAsia"/>
          <w:sz w:val="24"/>
          <w:szCs w:val="24"/>
        </w:rPr>
        <w:t>. with the timescale and parameters</w:t>
      </w:r>
      <w:r>
        <w:rPr>
          <w:rFonts w:eastAsiaTheme="minorEastAsia"/>
          <w:sz w:val="24"/>
          <w:szCs w:val="24"/>
        </w:rPr>
        <w:t xml:space="preserve"> left unchanged</w:t>
      </w:r>
      <w:r w:rsidRPr="00E75313">
        <w:rPr>
          <w:rFonts w:eastAsiaTheme="minorEastAsia"/>
          <w:sz w:val="24"/>
          <w:szCs w:val="24"/>
        </w:rPr>
        <w:t>.</w:t>
      </w:r>
    </w:p>
    <w:p w14:paraId="04A17F6B" w14:textId="77777777" w:rsidR="00A319F0" w:rsidRDefault="00E75313" w:rsidP="00A319F0">
      <w:pPr>
        <w:keepNext/>
        <w:spacing w:line="240" w:lineRule="auto"/>
        <w:jc w:val="center"/>
      </w:pPr>
      <w:r w:rsidRPr="00E75313">
        <w:rPr>
          <w:rFonts w:eastAsiaTheme="minorEastAsia"/>
          <w:noProof/>
          <w:sz w:val="24"/>
          <w:szCs w:val="24"/>
        </w:rPr>
        <w:drawing>
          <wp:inline distT="0" distB="0" distL="0" distR="0" wp14:anchorId="1E0771AA" wp14:editId="19F00E1C">
            <wp:extent cx="5865564" cy="2832100"/>
            <wp:effectExtent l="152400" t="152400" r="363855" b="368300"/>
            <wp:docPr id="1119560119" name="Picture 18"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60119" name="Picture 18" descr="A screen shot of a graph&#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90891" cy="2844329"/>
                    </a:xfrm>
                    <a:prstGeom prst="rect">
                      <a:avLst/>
                    </a:prstGeom>
                    <a:ln>
                      <a:noFill/>
                    </a:ln>
                    <a:effectLst>
                      <a:outerShdw blurRad="292100" dist="139700" dir="2700000" algn="tl" rotWithShape="0">
                        <a:srgbClr val="333333">
                          <a:alpha val="65000"/>
                        </a:srgbClr>
                      </a:outerShdw>
                    </a:effectLst>
                  </pic:spPr>
                </pic:pic>
              </a:graphicData>
            </a:graphic>
          </wp:inline>
        </w:drawing>
      </w:r>
    </w:p>
    <w:p w14:paraId="0D39A6E6" w14:textId="4BBB290E" w:rsidR="00E75313" w:rsidRPr="00A319F0" w:rsidRDefault="00A319F0" w:rsidP="00A319F0">
      <w:pPr>
        <w:pStyle w:val="Caption"/>
        <w:jc w:val="center"/>
        <w:rPr>
          <w:rFonts w:eastAsiaTheme="minorEastAsia"/>
          <w:sz w:val="22"/>
          <w:szCs w:val="22"/>
        </w:rPr>
      </w:pPr>
      <w:r w:rsidRPr="00A319F0">
        <w:rPr>
          <w:sz w:val="22"/>
          <w:szCs w:val="22"/>
        </w:rPr>
        <w:t>Figure 16: MDS 1.7</w:t>
      </w:r>
    </w:p>
    <w:p w14:paraId="4C85FA68" w14:textId="0527F966" w:rsidR="00E75313" w:rsidRDefault="00A319F0" w:rsidP="00D029B7">
      <w:pPr>
        <w:spacing w:line="480" w:lineRule="auto"/>
        <w:jc w:val="both"/>
        <w:rPr>
          <w:rFonts w:eastAsiaTheme="minorEastAsia"/>
          <w:sz w:val="24"/>
          <w:szCs w:val="24"/>
        </w:rPr>
      </w:pPr>
      <w:r w:rsidRPr="00A319F0">
        <w:rPr>
          <w:sz w:val="24"/>
          <w:szCs w:val="24"/>
        </w:rPr>
        <w:lastRenderedPageBreak/>
        <w:t xml:space="preserve">On figure 16, the added </w:t>
      </w:r>
      <w:r>
        <w:rPr>
          <w:sz w:val="24"/>
          <w:szCs w:val="24"/>
        </w:rPr>
        <w:t xml:space="preserve">labels show that the main seismic event occurred just after the one-hour mark, but otherwise the embedding points are too tightly clustered to facilitate a predictive analysis. With the increase in the dimensionality of the embedding space, the </w:t>
      </w:r>
      <w:r w:rsidR="00B72732">
        <w:rPr>
          <w:sz w:val="24"/>
          <w:szCs w:val="24"/>
        </w:rPr>
        <w:t xml:space="preserve">stress value decreased by about </w:t>
      </w:r>
      <m:oMath>
        <m:r>
          <w:rPr>
            <w:rFonts w:ascii="Cambria Math" w:hAnsi="Cambria Math"/>
            <w:sz w:val="24"/>
            <w:szCs w:val="24"/>
          </w:rPr>
          <m:t>40%</m:t>
        </m:r>
      </m:oMath>
      <w:r w:rsidR="00B72732">
        <w:rPr>
          <w:sz w:val="24"/>
          <w:szCs w:val="24"/>
        </w:rPr>
        <w:t xml:space="preserve"> to </w:t>
      </w:r>
      <m:oMath>
        <m:r>
          <w:rPr>
            <w:rFonts w:ascii="Cambria Math" w:hAnsi="Cambria Math"/>
            <w:sz w:val="24"/>
            <w:szCs w:val="24"/>
          </w:rPr>
          <m:t>S= 1.0323*</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13</m:t>
            </m:r>
          </m:sup>
        </m:sSup>
      </m:oMath>
      <w:r w:rsidR="00B72732">
        <w:rPr>
          <w:rFonts w:eastAsiaTheme="minorEastAsia"/>
          <w:sz w:val="24"/>
          <w:szCs w:val="24"/>
        </w:rPr>
        <w:t>.</w:t>
      </w:r>
    </w:p>
    <w:p w14:paraId="4ABD7CC6" w14:textId="77777777" w:rsidR="00E976C3" w:rsidRDefault="00E976C3" w:rsidP="00D029B7">
      <w:pPr>
        <w:spacing w:line="480" w:lineRule="auto"/>
        <w:jc w:val="both"/>
        <w:rPr>
          <w:b/>
          <w:bCs/>
          <w:sz w:val="28"/>
          <w:szCs w:val="28"/>
        </w:rPr>
      </w:pPr>
    </w:p>
    <w:p w14:paraId="1E5A7A39" w14:textId="296D7A38" w:rsidR="00623EA4" w:rsidRPr="00E976C3" w:rsidRDefault="00623EA4" w:rsidP="00E976C3">
      <w:pPr>
        <w:pStyle w:val="ListParagraph"/>
        <w:numPr>
          <w:ilvl w:val="0"/>
          <w:numId w:val="2"/>
        </w:numPr>
        <w:spacing w:line="480" w:lineRule="auto"/>
        <w:jc w:val="both"/>
        <w:rPr>
          <w:b/>
          <w:bCs/>
          <w:sz w:val="28"/>
          <w:szCs w:val="28"/>
        </w:rPr>
      </w:pPr>
      <w:r w:rsidRPr="00E976C3">
        <w:rPr>
          <w:b/>
          <w:bCs/>
          <w:sz w:val="28"/>
          <w:szCs w:val="28"/>
        </w:rPr>
        <w:t>Fukushima earthquake 2016</w:t>
      </w:r>
    </w:p>
    <w:p w14:paraId="09C8F9A7" w14:textId="1C193133" w:rsidR="00623EA4" w:rsidRDefault="00623EA4" w:rsidP="00D029B7">
      <w:pPr>
        <w:spacing w:line="480" w:lineRule="auto"/>
        <w:jc w:val="both"/>
        <w:rPr>
          <w:sz w:val="24"/>
          <w:szCs w:val="24"/>
        </w:rPr>
      </w:pPr>
      <w:r>
        <w:rPr>
          <w:sz w:val="24"/>
          <w:szCs w:val="24"/>
        </w:rPr>
        <w:t xml:space="preserve">The second earthquake included in the analysis had its epicentre in the </w:t>
      </w:r>
      <w:r w:rsidR="00B61660">
        <w:rPr>
          <w:sz w:val="24"/>
          <w:szCs w:val="24"/>
        </w:rPr>
        <w:t>Pacific</w:t>
      </w:r>
      <w:r>
        <w:rPr>
          <w:sz w:val="24"/>
          <w:szCs w:val="24"/>
        </w:rPr>
        <w:t xml:space="preserve"> Ocean southeast of Fukushima and northeast of the port of Iwaki </w:t>
      </w:r>
      <w:r w:rsidR="004B6D2D">
        <w:rPr>
          <w:sz w:val="24"/>
          <w:szCs w:val="24"/>
        </w:rPr>
        <w:t xml:space="preserve">(Honshu) </w:t>
      </w:r>
      <w:r>
        <w:rPr>
          <w:sz w:val="24"/>
          <w:szCs w:val="24"/>
        </w:rPr>
        <w:t>on the 21</w:t>
      </w:r>
      <w:r w:rsidRPr="00623EA4">
        <w:rPr>
          <w:sz w:val="24"/>
          <w:szCs w:val="24"/>
          <w:vertAlign w:val="superscript"/>
        </w:rPr>
        <w:t>st</w:t>
      </w:r>
      <w:r>
        <w:rPr>
          <w:sz w:val="24"/>
          <w:szCs w:val="24"/>
        </w:rPr>
        <w:t xml:space="preserve"> of November 2016 with a magnitude of 7.4.</w:t>
      </w:r>
    </w:p>
    <w:p w14:paraId="30A121C0" w14:textId="77777777" w:rsidR="00623EA4" w:rsidRDefault="00623EA4" w:rsidP="00623EA4">
      <w:pPr>
        <w:keepNext/>
        <w:spacing w:line="240" w:lineRule="auto"/>
        <w:jc w:val="center"/>
      </w:pPr>
      <w:r w:rsidRPr="00623EA4">
        <w:rPr>
          <w:noProof/>
          <w:sz w:val="24"/>
          <w:szCs w:val="24"/>
        </w:rPr>
        <w:drawing>
          <wp:inline distT="0" distB="0" distL="0" distR="0" wp14:anchorId="6EC9DD49" wp14:editId="228E6F69">
            <wp:extent cx="5262770" cy="3600450"/>
            <wp:effectExtent l="171450" t="171450" r="167005" b="190500"/>
            <wp:docPr id="811481638" name="Picture 19" descr="A map with a red poin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81638" name="Picture 19" descr="A map with a red point on it&#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2318" cy="360698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AE04F0C" w14:textId="728D7E56" w:rsidR="00623EA4" w:rsidRDefault="00623EA4" w:rsidP="00623EA4">
      <w:pPr>
        <w:pStyle w:val="Caption"/>
        <w:jc w:val="center"/>
        <w:rPr>
          <w:sz w:val="22"/>
          <w:szCs w:val="22"/>
        </w:rPr>
      </w:pPr>
      <w:r w:rsidRPr="00E976C3">
        <w:rPr>
          <w:sz w:val="22"/>
          <w:szCs w:val="22"/>
        </w:rPr>
        <w:t>Figure 17: Epicentre of Fukushima earthquake</w:t>
      </w:r>
    </w:p>
    <w:p w14:paraId="3C7E3A57" w14:textId="3106DFF0" w:rsidR="00E976C3" w:rsidRDefault="00E976C3" w:rsidP="00E976C3">
      <w:pPr>
        <w:spacing w:line="480" w:lineRule="auto"/>
        <w:jc w:val="both"/>
        <w:rPr>
          <w:sz w:val="24"/>
          <w:szCs w:val="24"/>
        </w:rPr>
      </w:pPr>
      <w:r>
        <w:rPr>
          <w:sz w:val="24"/>
          <w:szCs w:val="24"/>
        </w:rPr>
        <w:t>The closest Hi-net station it was detected by was codenamed ‘</w:t>
      </w:r>
      <w:r w:rsidRPr="00E976C3">
        <w:rPr>
          <w:sz w:val="24"/>
          <w:szCs w:val="24"/>
        </w:rPr>
        <w:t>NMEH</w:t>
      </w:r>
      <w:r>
        <w:rPr>
          <w:sz w:val="24"/>
          <w:szCs w:val="24"/>
        </w:rPr>
        <w:t xml:space="preserve">’, situated 56.68 km away from the epicentre. </w:t>
      </w:r>
    </w:p>
    <w:p w14:paraId="2AF892CC" w14:textId="77777777" w:rsidR="00E976C3" w:rsidRDefault="00E976C3" w:rsidP="00E976C3">
      <w:pPr>
        <w:keepNext/>
        <w:spacing w:line="240" w:lineRule="auto"/>
        <w:jc w:val="center"/>
      </w:pPr>
      <w:r w:rsidRPr="00E976C3">
        <w:rPr>
          <w:noProof/>
          <w:sz w:val="24"/>
          <w:szCs w:val="24"/>
        </w:rPr>
        <w:lastRenderedPageBreak/>
        <w:drawing>
          <wp:inline distT="0" distB="0" distL="0" distR="0" wp14:anchorId="2814813C" wp14:editId="5039012F">
            <wp:extent cx="4267200" cy="2461177"/>
            <wp:effectExtent l="152400" t="152400" r="361950" b="358775"/>
            <wp:docPr id="1544260899" name="Picture 20" descr="A graph of a earthquak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60899" name="Picture 20" descr="A graph of a earthquake&#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31630" cy="2498338"/>
                    </a:xfrm>
                    <a:prstGeom prst="rect">
                      <a:avLst/>
                    </a:prstGeom>
                    <a:ln>
                      <a:noFill/>
                    </a:ln>
                    <a:effectLst>
                      <a:outerShdw blurRad="292100" dist="139700" dir="2700000" algn="tl" rotWithShape="0">
                        <a:srgbClr val="333333">
                          <a:alpha val="65000"/>
                        </a:srgbClr>
                      </a:outerShdw>
                    </a:effectLst>
                  </pic:spPr>
                </pic:pic>
              </a:graphicData>
            </a:graphic>
          </wp:inline>
        </w:drawing>
      </w:r>
    </w:p>
    <w:p w14:paraId="1EB1A136" w14:textId="1C3FFE10" w:rsidR="00E976C3" w:rsidRPr="00E976C3" w:rsidRDefault="00E976C3" w:rsidP="00E976C3">
      <w:pPr>
        <w:pStyle w:val="Caption"/>
        <w:jc w:val="center"/>
        <w:rPr>
          <w:sz w:val="22"/>
          <w:szCs w:val="22"/>
        </w:rPr>
      </w:pPr>
      <w:r w:rsidRPr="00E976C3">
        <w:rPr>
          <w:sz w:val="22"/>
          <w:szCs w:val="22"/>
        </w:rPr>
        <w:t>Figure 18</w:t>
      </w:r>
    </w:p>
    <w:p w14:paraId="10F7E176" w14:textId="6752DC6D" w:rsidR="00623EA4" w:rsidRDefault="00E976C3" w:rsidP="00D029B7">
      <w:pPr>
        <w:spacing w:line="480" w:lineRule="auto"/>
        <w:jc w:val="both"/>
        <w:rPr>
          <w:sz w:val="24"/>
          <w:szCs w:val="24"/>
        </w:rPr>
      </w:pPr>
      <w:r>
        <w:rPr>
          <w:sz w:val="24"/>
          <w:szCs w:val="24"/>
        </w:rPr>
        <w:t>The last two-hour snippet of the high pass filtered seismogram displays several smaller earthquakes preceding the main event, suggesting different patterns of seismicity from the Kumamoto earthquake</w:t>
      </w:r>
      <w:r w:rsidR="00794762">
        <w:rPr>
          <w:sz w:val="24"/>
          <w:szCs w:val="24"/>
        </w:rPr>
        <w:t xml:space="preserve"> seven months prior.</w:t>
      </w:r>
    </w:p>
    <w:p w14:paraId="3B9C58CE" w14:textId="388FBA85" w:rsidR="00794762" w:rsidRDefault="00794762" w:rsidP="00D029B7">
      <w:pPr>
        <w:spacing w:line="480" w:lineRule="auto"/>
        <w:jc w:val="both"/>
        <w:rPr>
          <w:b/>
          <w:bCs/>
          <w:sz w:val="24"/>
          <w:szCs w:val="24"/>
        </w:rPr>
      </w:pPr>
      <w:r>
        <w:rPr>
          <w:b/>
          <w:bCs/>
          <w:sz w:val="24"/>
          <w:szCs w:val="24"/>
        </w:rPr>
        <w:t>Scaling 2.1</w:t>
      </w:r>
    </w:p>
    <w:p w14:paraId="200174C1" w14:textId="3F569F59" w:rsidR="00794762" w:rsidRPr="00794762" w:rsidRDefault="00794762" w:rsidP="00D029B7">
      <w:pPr>
        <w:spacing w:line="480" w:lineRule="auto"/>
        <w:jc w:val="both"/>
        <w:rPr>
          <w:sz w:val="24"/>
          <w:szCs w:val="24"/>
        </w:rPr>
      </w:pPr>
      <m:oMathPara>
        <m:oMath>
          <m:r>
            <w:rPr>
              <w:rFonts w:ascii="Cambria Math" w:hAnsi="Cambria Math"/>
              <w:sz w:val="24"/>
              <w:szCs w:val="24"/>
            </w:rPr>
            <m:t>N=100,  M=2700000,  k=2</m:t>
          </m:r>
        </m:oMath>
      </m:oMathPara>
    </w:p>
    <w:p w14:paraId="43FA2871" w14:textId="77777777" w:rsidR="00794762" w:rsidRDefault="00794762" w:rsidP="00794762">
      <w:pPr>
        <w:keepNext/>
        <w:spacing w:line="240" w:lineRule="auto"/>
        <w:jc w:val="center"/>
      </w:pPr>
      <w:r w:rsidRPr="00794762">
        <w:rPr>
          <w:noProof/>
          <w:sz w:val="24"/>
          <w:szCs w:val="24"/>
        </w:rPr>
        <w:drawing>
          <wp:inline distT="0" distB="0" distL="0" distR="0" wp14:anchorId="224A017D" wp14:editId="5982DF0F">
            <wp:extent cx="4438650" cy="2300429"/>
            <wp:effectExtent l="152400" t="152400" r="361950" b="367030"/>
            <wp:docPr id="736008799" name="Picture 21" descr="A graph with number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08799" name="Picture 21" descr="A graph with numbers and dots&#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466145" cy="2314679"/>
                    </a:xfrm>
                    <a:prstGeom prst="rect">
                      <a:avLst/>
                    </a:prstGeom>
                    <a:ln>
                      <a:noFill/>
                    </a:ln>
                    <a:effectLst>
                      <a:outerShdw blurRad="292100" dist="139700" dir="2700000" algn="tl" rotWithShape="0">
                        <a:srgbClr val="333333">
                          <a:alpha val="65000"/>
                        </a:srgbClr>
                      </a:outerShdw>
                    </a:effectLst>
                  </pic:spPr>
                </pic:pic>
              </a:graphicData>
            </a:graphic>
          </wp:inline>
        </w:drawing>
      </w:r>
    </w:p>
    <w:p w14:paraId="30DC545D" w14:textId="3B0F9493" w:rsidR="00623EA4" w:rsidRPr="00794762" w:rsidRDefault="00794762" w:rsidP="00794762">
      <w:pPr>
        <w:pStyle w:val="Caption"/>
        <w:jc w:val="center"/>
        <w:rPr>
          <w:sz w:val="22"/>
          <w:szCs w:val="22"/>
        </w:rPr>
      </w:pPr>
      <w:r w:rsidRPr="00794762">
        <w:rPr>
          <w:sz w:val="22"/>
          <w:szCs w:val="22"/>
        </w:rPr>
        <w:t>Figure 19</w:t>
      </w:r>
      <w:r w:rsidR="00454B86">
        <w:rPr>
          <w:sz w:val="22"/>
          <w:szCs w:val="22"/>
        </w:rPr>
        <w:t>: MDS 2.1</w:t>
      </w:r>
    </w:p>
    <w:p w14:paraId="6E77B3A9" w14:textId="5B0FD9B7" w:rsidR="00D029B7" w:rsidRDefault="00794762" w:rsidP="00794762">
      <w:pPr>
        <w:pStyle w:val="Caption"/>
        <w:spacing w:line="480" w:lineRule="auto"/>
        <w:jc w:val="both"/>
        <w:rPr>
          <w:rFonts w:eastAsiaTheme="minorEastAsia"/>
          <w:i w:val="0"/>
          <w:iCs w:val="0"/>
          <w:color w:val="000000" w:themeColor="text1"/>
          <w:sz w:val="24"/>
          <w:szCs w:val="24"/>
        </w:rPr>
      </w:pPr>
      <w:r>
        <w:rPr>
          <w:i w:val="0"/>
          <w:iCs w:val="0"/>
          <w:color w:val="000000" w:themeColor="text1"/>
          <w:sz w:val="24"/>
          <w:szCs w:val="24"/>
        </w:rPr>
        <w:lastRenderedPageBreak/>
        <w:t>In a similar vein</w:t>
      </w:r>
      <w:r w:rsidRPr="00794762">
        <w:rPr>
          <w:i w:val="0"/>
          <w:iCs w:val="0"/>
          <w:color w:val="000000" w:themeColor="text1"/>
          <w:sz w:val="24"/>
          <w:szCs w:val="24"/>
        </w:rPr>
        <w:t xml:space="preserve"> to the </w:t>
      </w:r>
      <w:r>
        <w:rPr>
          <w:i w:val="0"/>
          <w:iCs w:val="0"/>
          <w:color w:val="000000" w:themeColor="text1"/>
          <w:sz w:val="24"/>
          <w:szCs w:val="24"/>
        </w:rPr>
        <w:t xml:space="preserve">seismographic image displaying more seismic activity, the first model </w:t>
      </w:r>
      <w:r w:rsidR="00454B86">
        <w:rPr>
          <w:i w:val="0"/>
          <w:iCs w:val="0"/>
          <w:color w:val="000000" w:themeColor="text1"/>
          <w:sz w:val="24"/>
          <w:szCs w:val="24"/>
        </w:rPr>
        <w:t xml:space="preserve">shows a cluster with no single outlier but rather a tight middle bunch and several embedding points showing more variance around the main cluster without further apparent clustering. The stress value is </w:t>
      </w:r>
      <m:oMath>
        <m:r>
          <w:rPr>
            <w:rFonts w:ascii="Cambria Math" w:hAnsi="Cambria Math"/>
            <w:color w:val="000000" w:themeColor="text1"/>
            <w:sz w:val="24"/>
            <w:szCs w:val="24"/>
          </w:rPr>
          <m:t>S= 1.1674*</m:t>
        </m:r>
        <m:sSup>
          <m:sSupPr>
            <m:ctrlPr>
              <w:rPr>
                <w:rFonts w:ascii="Cambria Math" w:hAnsi="Cambria Math"/>
                <w:i w:val="0"/>
                <w:iCs w:val="0"/>
                <w:color w:val="000000" w:themeColor="text1"/>
                <w:sz w:val="24"/>
                <w:szCs w:val="24"/>
              </w:rPr>
            </m:ctrlPr>
          </m:sSupPr>
          <m:e>
            <m:r>
              <w:rPr>
                <w:rFonts w:ascii="Cambria Math" w:hAnsi="Cambria Math"/>
                <w:color w:val="000000" w:themeColor="text1"/>
                <w:sz w:val="24"/>
                <w:szCs w:val="24"/>
              </w:rPr>
              <m:t>10</m:t>
            </m:r>
          </m:e>
          <m:sup>
            <m:r>
              <w:rPr>
                <w:rFonts w:ascii="Cambria Math" w:hAnsi="Cambria Math"/>
                <w:color w:val="000000" w:themeColor="text1"/>
                <w:sz w:val="24"/>
                <w:szCs w:val="24"/>
              </w:rPr>
              <m:t>18</m:t>
            </m:r>
          </m:sup>
        </m:sSup>
        <m:r>
          <w:rPr>
            <w:rFonts w:ascii="Cambria Math" w:hAnsi="Cambria Math"/>
            <w:color w:val="000000" w:themeColor="text1"/>
            <w:sz w:val="24"/>
            <w:szCs w:val="24"/>
          </w:rPr>
          <m:t xml:space="preserve">, </m:t>
        </m:r>
      </m:oMath>
      <w:r w:rsidR="00454B86">
        <w:rPr>
          <w:rFonts w:eastAsiaTheme="minorEastAsia"/>
          <w:i w:val="0"/>
          <w:iCs w:val="0"/>
          <w:color w:val="000000" w:themeColor="text1"/>
          <w:sz w:val="24"/>
          <w:szCs w:val="24"/>
        </w:rPr>
        <w:t xml:space="preserve">thus the model is performing worse than in the case of the Kumamoto dataset, which holds up across all dimensions up to </w:t>
      </w:r>
      <m:oMath>
        <m:r>
          <w:rPr>
            <w:rFonts w:ascii="Cambria Math" w:eastAsiaTheme="minorEastAsia" w:hAnsi="Cambria Math"/>
            <w:color w:val="000000" w:themeColor="text1"/>
            <w:sz w:val="24"/>
            <w:szCs w:val="24"/>
          </w:rPr>
          <m:t>k=10</m:t>
        </m:r>
      </m:oMath>
      <w:r w:rsidR="00454B86">
        <w:rPr>
          <w:rFonts w:eastAsiaTheme="minorEastAsia"/>
          <w:i w:val="0"/>
          <w:iCs w:val="0"/>
          <w:color w:val="000000" w:themeColor="text1"/>
          <w:sz w:val="24"/>
          <w:szCs w:val="24"/>
        </w:rPr>
        <w:t>, as shown on the scree plot below.</w:t>
      </w:r>
    </w:p>
    <w:p w14:paraId="22248DA5" w14:textId="77777777" w:rsidR="00171651" w:rsidRDefault="00171651" w:rsidP="00454B86">
      <w:pPr>
        <w:keepNext/>
        <w:spacing w:line="240" w:lineRule="auto"/>
        <w:jc w:val="center"/>
      </w:pPr>
    </w:p>
    <w:p w14:paraId="3EA2C8ED" w14:textId="1A5DF8F5" w:rsidR="00454B86" w:rsidRDefault="00454B86" w:rsidP="00454B86">
      <w:pPr>
        <w:keepNext/>
        <w:spacing w:line="240" w:lineRule="auto"/>
        <w:jc w:val="center"/>
      </w:pPr>
      <w:r w:rsidRPr="00454B86">
        <w:rPr>
          <w:noProof/>
        </w:rPr>
        <w:drawing>
          <wp:inline distT="0" distB="0" distL="0" distR="0" wp14:anchorId="32DCB6A8" wp14:editId="1040A09A">
            <wp:extent cx="5590698" cy="4210050"/>
            <wp:effectExtent l="152400" t="152400" r="353060" b="361950"/>
            <wp:docPr id="746265684" name="Picture 23"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65684" name="Picture 23" descr="A graph with a line&#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6441" cy="4229435"/>
                    </a:xfrm>
                    <a:prstGeom prst="rect">
                      <a:avLst/>
                    </a:prstGeom>
                    <a:ln>
                      <a:noFill/>
                    </a:ln>
                    <a:effectLst>
                      <a:outerShdw blurRad="292100" dist="139700" dir="2700000" algn="tl" rotWithShape="0">
                        <a:srgbClr val="333333">
                          <a:alpha val="65000"/>
                        </a:srgbClr>
                      </a:outerShdw>
                    </a:effectLst>
                  </pic:spPr>
                </pic:pic>
              </a:graphicData>
            </a:graphic>
          </wp:inline>
        </w:drawing>
      </w:r>
    </w:p>
    <w:p w14:paraId="2E67F9DD" w14:textId="215D8A3A" w:rsidR="00454B86" w:rsidRPr="00454B86" w:rsidRDefault="00454B86" w:rsidP="00454B86">
      <w:pPr>
        <w:pStyle w:val="Caption"/>
        <w:jc w:val="center"/>
        <w:rPr>
          <w:sz w:val="22"/>
          <w:szCs w:val="22"/>
        </w:rPr>
      </w:pPr>
      <w:r w:rsidRPr="00454B86">
        <w:rPr>
          <w:sz w:val="22"/>
          <w:szCs w:val="22"/>
        </w:rPr>
        <w:t>Figure 20: MDS 2.1 scree plot</w:t>
      </w:r>
    </w:p>
    <w:p w14:paraId="6D84907B" w14:textId="77777777" w:rsidR="00454B86" w:rsidRPr="00454B86" w:rsidRDefault="00454B86" w:rsidP="00454B86"/>
    <w:p w14:paraId="31E7FABC" w14:textId="77777777" w:rsidR="00CB7A23" w:rsidRDefault="00CB7A23" w:rsidP="006E0A50">
      <w:pPr>
        <w:spacing w:line="480" w:lineRule="auto"/>
        <w:jc w:val="center"/>
        <w:rPr>
          <w:sz w:val="24"/>
          <w:szCs w:val="24"/>
        </w:rPr>
      </w:pPr>
    </w:p>
    <w:p w14:paraId="08947029" w14:textId="77777777" w:rsidR="00171651" w:rsidRDefault="00171651" w:rsidP="006E0A50">
      <w:pPr>
        <w:spacing w:line="480" w:lineRule="auto"/>
        <w:jc w:val="center"/>
        <w:rPr>
          <w:sz w:val="24"/>
          <w:szCs w:val="24"/>
        </w:rPr>
      </w:pPr>
    </w:p>
    <w:p w14:paraId="21256BD7" w14:textId="0AE9F88E" w:rsidR="00171651" w:rsidRDefault="00171651" w:rsidP="00171651">
      <w:pPr>
        <w:spacing w:line="480" w:lineRule="auto"/>
        <w:rPr>
          <w:b/>
          <w:bCs/>
          <w:sz w:val="24"/>
          <w:szCs w:val="24"/>
        </w:rPr>
      </w:pPr>
      <w:r>
        <w:rPr>
          <w:b/>
          <w:bCs/>
          <w:sz w:val="24"/>
          <w:szCs w:val="24"/>
        </w:rPr>
        <w:lastRenderedPageBreak/>
        <w:t>Scaling 2.2</w:t>
      </w:r>
    </w:p>
    <w:p w14:paraId="5A777BD3" w14:textId="4C694253" w:rsidR="00171651" w:rsidRPr="00171651" w:rsidRDefault="00171651" w:rsidP="00B53D46">
      <w:pPr>
        <w:spacing w:line="480" w:lineRule="auto"/>
        <w:rPr>
          <w:b/>
          <w:bCs/>
          <w:sz w:val="24"/>
          <w:szCs w:val="24"/>
        </w:rPr>
      </w:pPr>
      <m:oMathPara>
        <m:oMathParaPr>
          <m:jc m:val="center"/>
        </m:oMathParaPr>
        <m:oMath>
          <m:r>
            <w:rPr>
              <w:rFonts w:ascii="Cambria Math" w:hAnsi="Cambria Math"/>
              <w:sz w:val="24"/>
              <w:szCs w:val="24"/>
            </w:rPr>
            <m:t>N=1000,  M=270000,  k=2</m:t>
          </m:r>
        </m:oMath>
      </m:oMathPara>
    </w:p>
    <w:p w14:paraId="169118E8" w14:textId="34598406" w:rsidR="00391B0D" w:rsidRDefault="00171651" w:rsidP="00171651">
      <w:pPr>
        <w:spacing w:line="240" w:lineRule="auto"/>
        <w:rPr>
          <w:sz w:val="24"/>
          <w:szCs w:val="24"/>
        </w:rPr>
      </w:pPr>
      <w:r w:rsidRPr="00171651">
        <w:rPr>
          <w:noProof/>
          <w:sz w:val="24"/>
          <w:szCs w:val="24"/>
        </w:rPr>
        <w:drawing>
          <wp:inline distT="0" distB="0" distL="0" distR="0" wp14:anchorId="47D12CE0" wp14:editId="0B062ED1">
            <wp:extent cx="5543550" cy="2648952"/>
            <wp:effectExtent l="152400" t="152400" r="361950" b="361315"/>
            <wp:docPr id="81926919" name="Picture 24" descr="A graph showing a number of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6919" name="Picture 24" descr="A graph showing a number of data&#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68589" cy="2660917"/>
                    </a:xfrm>
                    <a:prstGeom prst="rect">
                      <a:avLst/>
                    </a:prstGeom>
                    <a:ln>
                      <a:noFill/>
                    </a:ln>
                    <a:effectLst>
                      <a:outerShdw blurRad="292100" dist="139700" dir="2700000" algn="tl" rotWithShape="0">
                        <a:srgbClr val="333333">
                          <a:alpha val="65000"/>
                        </a:srgbClr>
                      </a:outerShdw>
                    </a:effectLst>
                  </pic:spPr>
                </pic:pic>
              </a:graphicData>
            </a:graphic>
          </wp:inline>
        </w:drawing>
      </w:r>
    </w:p>
    <w:p w14:paraId="35CD0BC8" w14:textId="77777777" w:rsidR="00171651" w:rsidRDefault="00171651" w:rsidP="00171651">
      <w:pPr>
        <w:keepNext/>
        <w:spacing w:line="240" w:lineRule="auto"/>
        <w:jc w:val="center"/>
      </w:pPr>
      <w:r w:rsidRPr="00171651">
        <w:rPr>
          <w:noProof/>
          <w:sz w:val="24"/>
          <w:szCs w:val="24"/>
        </w:rPr>
        <w:drawing>
          <wp:inline distT="0" distB="0" distL="0" distR="0" wp14:anchorId="7CA7807D" wp14:editId="33A2ABE6">
            <wp:extent cx="3178532" cy="3486150"/>
            <wp:effectExtent l="152400" t="152400" r="365125" b="361950"/>
            <wp:docPr id="119448530" name="Picture 25" descr="A graph with numbers and a number of tim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8530" name="Picture 25" descr="A graph with numbers and a number of times&#10;&#10;Description automatically generated with medium confidenc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94655" cy="3503833"/>
                    </a:xfrm>
                    <a:prstGeom prst="rect">
                      <a:avLst/>
                    </a:prstGeom>
                    <a:ln>
                      <a:noFill/>
                    </a:ln>
                    <a:effectLst>
                      <a:outerShdw blurRad="292100" dist="139700" dir="2700000" algn="tl" rotWithShape="0">
                        <a:srgbClr val="333333">
                          <a:alpha val="65000"/>
                        </a:srgbClr>
                      </a:outerShdw>
                    </a:effectLst>
                  </pic:spPr>
                </pic:pic>
              </a:graphicData>
            </a:graphic>
          </wp:inline>
        </w:drawing>
      </w:r>
    </w:p>
    <w:p w14:paraId="1ACA87CB" w14:textId="0448BF9C" w:rsidR="00171651" w:rsidRDefault="00171651" w:rsidP="00171651">
      <w:pPr>
        <w:pStyle w:val="Caption"/>
        <w:jc w:val="center"/>
        <w:rPr>
          <w:sz w:val="22"/>
          <w:szCs w:val="22"/>
        </w:rPr>
      </w:pPr>
      <w:r w:rsidRPr="00171651">
        <w:rPr>
          <w:sz w:val="22"/>
          <w:szCs w:val="22"/>
        </w:rPr>
        <w:t>Figure 21: MDS 2.2</w:t>
      </w:r>
      <w:r w:rsidR="005617B5">
        <w:rPr>
          <w:sz w:val="22"/>
          <w:szCs w:val="22"/>
        </w:rPr>
        <w:t xml:space="preserve"> and zoom</w:t>
      </w:r>
    </w:p>
    <w:p w14:paraId="241688D7" w14:textId="40D66339" w:rsidR="00EE4A9B" w:rsidRDefault="00EE4A9B" w:rsidP="00EE4A9B">
      <w:pPr>
        <w:spacing w:line="480" w:lineRule="auto"/>
        <w:jc w:val="both"/>
        <w:rPr>
          <w:rFonts w:eastAsiaTheme="minorEastAsia"/>
          <w:sz w:val="24"/>
          <w:szCs w:val="24"/>
        </w:rPr>
      </w:pPr>
      <w:r>
        <w:rPr>
          <w:sz w:val="24"/>
          <w:szCs w:val="24"/>
        </w:rPr>
        <w:lastRenderedPageBreak/>
        <w:t xml:space="preserve">The second model preserves the one main </w:t>
      </w:r>
      <w:r w:rsidR="008B465F">
        <w:rPr>
          <w:sz w:val="24"/>
          <w:szCs w:val="24"/>
        </w:rPr>
        <w:t xml:space="preserve">oval-shaped </w:t>
      </w:r>
      <w:r>
        <w:rPr>
          <w:sz w:val="24"/>
          <w:szCs w:val="24"/>
        </w:rPr>
        <w:t>cluster of MDS 2.</w:t>
      </w:r>
      <w:r w:rsidR="008B465F">
        <w:rPr>
          <w:sz w:val="24"/>
          <w:szCs w:val="24"/>
        </w:rPr>
        <w:t>1</w:t>
      </w:r>
      <w:r>
        <w:rPr>
          <w:sz w:val="24"/>
          <w:szCs w:val="24"/>
        </w:rPr>
        <w:t xml:space="preserve">. but it is made more accurate by the representation of three outlier embedding points as seen on Figure 21, with the yellow dot representing the main event, </w:t>
      </w:r>
      <w:r w:rsidR="008B465F">
        <w:rPr>
          <w:sz w:val="24"/>
          <w:szCs w:val="24"/>
        </w:rPr>
        <w:t xml:space="preserve">while the two other outliers likely corresponding to earlier periods of heightened seismicity. The stress value for the model is </w:t>
      </w:r>
      <m:oMath>
        <m:r>
          <w:rPr>
            <w:rFonts w:ascii="Cambria Math" w:hAnsi="Cambria Math"/>
            <w:sz w:val="24"/>
            <w:szCs w:val="24"/>
          </w:rPr>
          <m:t>S=1.0517*</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18</m:t>
            </m:r>
          </m:sup>
        </m:sSup>
      </m:oMath>
      <w:r w:rsidR="008B465F">
        <w:rPr>
          <w:rFonts w:eastAsiaTheme="minorEastAsia"/>
          <w:sz w:val="24"/>
          <w:szCs w:val="24"/>
        </w:rPr>
        <w:t xml:space="preserve">, a </w:t>
      </w:r>
      <m:oMath>
        <m:r>
          <w:rPr>
            <w:rFonts w:ascii="Cambria Math" w:eastAsiaTheme="minorEastAsia" w:hAnsi="Cambria Math"/>
            <w:sz w:val="24"/>
            <w:szCs w:val="24"/>
          </w:rPr>
          <m:t>10%</m:t>
        </m:r>
      </m:oMath>
      <w:r w:rsidR="008B465F">
        <w:rPr>
          <w:rFonts w:eastAsiaTheme="minorEastAsia"/>
          <w:sz w:val="24"/>
          <w:szCs w:val="24"/>
        </w:rPr>
        <w:t xml:space="preserve"> improvement upon MDS 2.1.</w:t>
      </w:r>
    </w:p>
    <w:p w14:paraId="2C7A2C67" w14:textId="22C46F17" w:rsidR="008B465F" w:rsidRDefault="008B465F" w:rsidP="00EE4A9B">
      <w:pPr>
        <w:spacing w:line="480" w:lineRule="auto"/>
        <w:jc w:val="both"/>
        <w:rPr>
          <w:rFonts w:eastAsiaTheme="minorEastAsia"/>
          <w:b/>
          <w:bCs/>
          <w:sz w:val="24"/>
          <w:szCs w:val="24"/>
        </w:rPr>
      </w:pPr>
      <w:r>
        <w:rPr>
          <w:rFonts w:eastAsiaTheme="minorEastAsia"/>
          <w:b/>
          <w:bCs/>
          <w:sz w:val="24"/>
          <w:szCs w:val="24"/>
        </w:rPr>
        <w:t>Scaling 2.3</w:t>
      </w:r>
    </w:p>
    <w:p w14:paraId="7D1482BD" w14:textId="0A9C8199" w:rsidR="008B465F" w:rsidRPr="00B53D46" w:rsidRDefault="00B53D46" w:rsidP="00EE4A9B">
      <w:pPr>
        <w:spacing w:line="480" w:lineRule="auto"/>
        <w:jc w:val="both"/>
        <w:rPr>
          <w:rFonts w:eastAsiaTheme="minorEastAsia"/>
          <w:sz w:val="24"/>
          <w:szCs w:val="24"/>
        </w:rPr>
      </w:pPr>
      <m:oMathPara>
        <m:oMathParaPr>
          <m:jc m:val="center"/>
        </m:oMathParaPr>
        <m:oMath>
          <m:r>
            <w:rPr>
              <w:rFonts w:ascii="Cambria Math" w:hAnsi="Cambria Math"/>
              <w:sz w:val="24"/>
              <w:szCs w:val="24"/>
            </w:rPr>
            <m:t>N=60,  M=4320000,  k=2</m:t>
          </m:r>
        </m:oMath>
      </m:oMathPara>
    </w:p>
    <w:p w14:paraId="2399FC1E" w14:textId="77777777" w:rsidR="00B53D46" w:rsidRDefault="00B53D46" w:rsidP="00B53D46">
      <w:pPr>
        <w:keepNext/>
        <w:spacing w:line="240" w:lineRule="auto"/>
        <w:jc w:val="center"/>
      </w:pPr>
      <w:r w:rsidRPr="00B53D46">
        <w:rPr>
          <w:b/>
          <w:bCs/>
          <w:noProof/>
          <w:sz w:val="24"/>
          <w:szCs w:val="24"/>
        </w:rPr>
        <w:drawing>
          <wp:inline distT="0" distB="0" distL="0" distR="0" wp14:anchorId="6B1178BC" wp14:editId="25F79378">
            <wp:extent cx="5895340" cy="2832100"/>
            <wp:effectExtent l="152400" t="152400" r="353060" b="368300"/>
            <wp:docPr id="1453201631" name="Picture 26" descr="A graph showing the earthquak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01631" name="Picture 26" descr="A graph showing the earthquake&#10;&#10;Description automatically generated with medium confidenc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06614" cy="2837516"/>
                    </a:xfrm>
                    <a:prstGeom prst="rect">
                      <a:avLst/>
                    </a:prstGeom>
                    <a:ln>
                      <a:noFill/>
                    </a:ln>
                    <a:effectLst>
                      <a:outerShdw blurRad="292100" dist="139700" dir="2700000" algn="tl" rotWithShape="0">
                        <a:srgbClr val="333333">
                          <a:alpha val="65000"/>
                        </a:srgbClr>
                      </a:outerShdw>
                    </a:effectLst>
                  </pic:spPr>
                </pic:pic>
              </a:graphicData>
            </a:graphic>
          </wp:inline>
        </w:drawing>
      </w:r>
    </w:p>
    <w:p w14:paraId="62189F32" w14:textId="5BA4E258" w:rsidR="00B53D46" w:rsidRDefault="00B53D46" w:rsidP="00B53D46">
      <w:pPr>
        <w:pStyle w:val="Caption"/>
        <w:jc w:val="center"/>
        <w:rPr>
          <w:sz w:val="22"/>
          <w:szCs w:val="22"/>
        </w:rPr>
      </w:pPr>
      <w:r w:rsidRPr="00B53D46">
        <w:rPr>
          <w:sz w:val="22"/>
          <w:szCs w:val="22"/>
        </w:rPr>
        <w:t>Figure 22: MDS 2.3</w:t>
      </w:r>
    </w:p>
    <w:p w14:paraId="49F7B648" w14:textId="1044B81B" w:rsidR="00B53D46" w:rsidRDefault="00B53D46" w:rsidP="00B53D46">
      <w:pPr>
        <w:spacing w:line="480" w:lineRule="auto"/>
        <w:jc w:val="both"/>
        <w:rPr>
          <w:rFonts w:eastAsiaTheme="minorEastAsia"/>
          <w:sz w:val="24"/>
          <w:szCs w:val="24"/>
        </w:rPr>
      </w:pPr>
      <w:r>
        <w:rPr>
          <w:sz w:val="24"/>
          <w:szCs w:val="24"/>
        </w:rPr>
        <w:t xml:space="preserve">As in the case of the Kumamoto earthquake, the daytime/nighttime MDS model yields a more meaningful result by separating the 12-hour time windows into a cluster of daytime periods displaying </w:t>
      </w:r>
      <w:r w:rsidR="00CE485A">
        <w:rPr>
          <w:sz w:val="24"/>
          <w:szCs w:val="24"/>
        </w:rPr>
        <w:t>less</w:t>
      </w:r>
      <w:r>
        <w:rPr>
          <w:sz w:val="24"/>
          <w:szCs w:val="24"/>
        </w:rPr>
        <w:t xml:space="preserve"> variance while nighttime periods forming a</w:t>
      </w:r>
      <w:r w:rsidR="00CE485A">
        <w:rPr>
          <w:sz w:val="24"/>
          <w:szCs w:val="24"/>
        </w:rPr>
        <w:t xml:space="preserve"> more dispersed</w:t>
      </w:r>
      <w:r>
        <w:rPr>
          <w:sz w:val="24"/>
          <w:szCs w:val="24"/>
        </w:rPr>
        <w:t xml:space="preserve"> ring around the inner cluster, with the </w:t>
      </w:r>
      <w:r w:rsidR="00CE485A">
        <w:rPr>
          <w:sz w:val="24"/>
          <w:szCs w:val="24"/>
        </w:rPr>
        <w:t xml:space="preserve">last 12 hours of daytime – including the main earthquake – being one of the several outliers. The returned stress value is </w:t>
      </w:r>
      <m:oMath>
        <m:r>
          <w:rPr>
            <w:rFonts w:ascii="Cambria Math" w:hAnsi="Cambria Math"/>
            <w:sz w:val="24"/>
            <w:szCs w:val="24"/>
          </w:rPr>
          <m:t>S=1.043*</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18</m:t>
            </m:r>
          </m:sup>
        </m:sSup>
      </m:oMath>
      <w:r w:rsidR="00CE485A">
        <w:rPr>
          <w:rFonts w:eastAsiaTheme="minorEastAsia"/>
          <w:sz w:val="24"/>
          <w:szCs w:val="24"/>
        </w:rPr>
        <w:t>.</w:t>
      </w:r>
    </w:p>
    <w:p w14:paraId="3A22115A" w14:textId="77777777" w:rsidR="00CE485A" w:rsidRDefault="00CE485A" w:rsidP="00B53D46">
      <w:pPr>
        <w:spacing w:line="480" w:lineRule="auto"/>
        <w:jc w:val="both"/>
        <w:rPr>
          <w:rFonts w:eastAsiaTheme="minorEastAsia"/>
          <w:sz w:val="24"/>
          <w:szCs w:val="24"/>
        </w:rPr>
      </w:pPr>
    </w:p>
    <w:p w14:paraId="1E81AF1C" w14:textId="53E3F248" w:rsidR="00CE485A" w:rsidRDefault="00CE485A" w:rsidP="00CE485A">
      <w:pPr>
        <w:spacing w:line="480" w:lineRule="auto"/>
        <w:jc w:val="both"/>
        <w:rPr>
          <w:b/>
          <w:bCs/>
          <w:sz w:val="24"/>
          <w:szCs w:val="24"/>
        </w:rPr>
      </w:pPr>
      <w:r w:rsidRPr="00CE485A">
        <w:rPr>
          <w:b/>
          <w:bCs/>
          <w:sz w:val="24"/>
          <w:szCs w:val="24"/>
        </w:rPr>
        <w:lastRenderedPageBreak/>
        <w:t>Scaling 2.</w:t>
      </w:r>
      <w:r>
        <w:rPr>
          <w:b/>
          <w:bCs/>
          <w:sz w:val="24"/>
          <w:szCs w:val="24"/>
        </w:rPr>
        <w:t>4</w:t>
      </w:r>
    </w:p>
    <w:p w14:paraId="70E37316" w14:textId="39565939" w:rsidR="00CE485A" w:rsidRPr="00CE485A" w:rsidRDefault="00CE485A" w:rsidP="00D61011">
      <w:pPr>
        <w:spacing w:line="480" w:lineRule="auto"/>
        <w:jc w:val="both"/>
        <w:rPr>
          <w:rFonts w:ascii="Cambria Math" w:hAnsi="Cambria Math"/>
          <w:i/>
          <w:sz w:val="24"/>
          <w:szCs w:val="24"/>
        </w:rPr>
      </w:pPr>
      <m:oMathPara>
        <m:oMathParaPr>
          <m:jc m:val="center"/>
        </m:oMathParaPr>
        <m:oMath>
          <m:r>
            <w:rPr>
              <w:rFonts w:ascii="Cambria Math" w:hAnsi="Cambria Math"/>
              <w:sz w:val="24"/>
              <w:szCs w:val="24"/>
            </w:rPr>
            <m:t>N=60,  M=4320000,  k=3</m:t>
          </m:r>
        </m:oMath>
      </m:oMathPara>
    </w:p>
    <w:p w14:paraId="2568C985" w14:textId="77777777" w:rsidR="00FD2D7C" w:rsidRDefault="00FD2D7C" w:rsidP="00FD2D7C">
      <w:pPr>
        <w:keepNext/>
        <w:spacing w:line="240" w:lineRule="auto"/>
        <w:jc w:val="center"/>
      </w:pPr>
      <w:r w:rsidRPr="00FD2D7C">
        <w:rPr>
          <w:b/>
          <w:bCs/>
          <w:noProof/>
          <w:sz w:val="24"/>
          <w:szCs w:val="24"/>
        </w:rPr>
        <w:drawing>
          <wp:inline distT="0" distB="0" distL="0" distR="0" wp14:anchorId="363B0472" wp14:editId="44D7468F">
            <wp:extent cx="6038513" cy="3022600"/>
            <wp:effectExtent l="152400" t="152400" r="362585" b="368300"/>
            <wp:docPr id="2077888209" name="Picture 27" descr="A graph of a graph showing the amount of time per perio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88209" name="Picture 27" descr="A graph of a graph showing the amount of time per period&#10;&#10;Description automatically generated with medium confidenc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44858" cy="3025776"/>
                    </a:xfrm>
                    <a:prstGeom prst="rect">
                      <a:avLst/>
                    </a:prstGeom>
                    <a:ln>
                      <a:noFill/>
                    </a:ln>
                    <a:effectLst>
                      <a:outerShdw blurRad="292100" dist="139700" dir="2700000" algn="tl" rotWithShape="0">
                        <a:srgbClr val="333333">
                          <a:alpha val="65000"/>
                        </a:srgbClr>
                      </a:outerShdw>
                    </a:effectLst>
                  </pic:spPr>
                </pic:pic>
              </a:graphicData>
            </a:graphic>
          </wp:inline>
        </w:drawing>
      </w:r>
    </w:p>
    <w:p w14:paraId="2DBA7D7D" w14:textId="0288B530" w:rsidR="00CE485A" w:rsidRPr="00CE485A" w:rsidRDefault="00FD2D7C" w:rsidP="00FD2D7C">
      <w:pPr>
        <w:pStyle w:val="Caption"/>
        <w:jc w:val="center"/>
        <w:rPr>
          <w:b/>
          <w:bCs/>
          <w:sz w:val="22"/>
          <w:szCs w:val="22"/>
        </w:rPr>
      </w:pPr>
      <w:r w:rsidRPr="00FD2D7C">
        <w:rPr>
          <w:sz w:val="22"/>
          <w:szCs w:val="22"/>
        </w:rPr>
        <w:t>Figure 23: MDS 2.4</w:t>
      </w:r>
    </w:p>
    <w:p w14:paraId="6BF118F0" w14:textId="77777777" w:rsidR="00B61660" w:rsidRDefault="00B61660" w:rsidP="00B53D46">
      <w:pPr>
        <w:spacing w:line="480" w:lineRule="auto"/>
        <w:jc w:val="both"/>
        <w:rPr>
          <w:sz w:val="24"/>
          <w:szCs w:val="24"/>
        </w:rPr>
      </w:pPr>
    </w:p>
    <w:p w14:paraId="544D6CC3" w14:textId="410D6CB1" w:rsidR="00CE485A" w:rsidRDefault="00FD2D7C" w:rsidP="00B53D46">
      <w:pPr>
        <w:spacing w:line="480" w:lineRule="auto"/>
        <w:jc w:val="both"/>
        <w:rPr>
          <w:rFonts w:eastAsiaTheme="minorEastAsia"/>
          <w:sz w:val="24"/>
          <w:szCs w:val="24"/>
        </w:rPr>
      </w:pPr>
      <w:r>
        <w:rPr>
          <w:sz w:val="24"/>
          <w:szCs w:val="24"/>
        </w:rPr>
        <w:t>The structure of the previous 2-dimensional model is made more apparent by MDS 2.4., with embedding points representing daytime forming a tight spheric cluster while nighttime periods being dispersed around the 3-dimensional embedding space. Nevertheless, it has to be noted that in the case of both MDS 2.3</w:t>
      </w:r>
      <w:r w:rsidR="00247D7E">
        <w:rPr>
          <w:sz w:val="24"/>
          <w:szCs w:val="24"/>
        </w:rPr>
        <w:t>.</w:t>
      </w:r>
      <w:r>
        <w:rPr>
          <w:sz w:val="24"/>
          <w:szCs w:val="24"/>
        </w:rPr>
        <w:t xml:space="preserve"> and 2.4., there is less of a separation between the two clusters and more day-night ‘mixing’ in the middle cluster than in the case of the Kumamoto dataset. The returned stress </w:t>
      </w:r>
      <w:r w:rsidR="00B61660">
        <w:rPr>
          <w:sz w:val="24"/>
          <w:szCs w:val="24"/>
        </w:rPr>
        <w:t xml:space="preserve">value is </w:t>
      </w:r>
      <m:oMath>
        <m:r>
          <w:rPr>
            <w:rFonts w:ascii="Cambria Math" w:hAnsi="Cambria Math"/>
            <w:sz w:val="24"/>
            <w:szCs w:val="24"/>
          </w:rPr>
          <m:t>S=6.0952*</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17</m:t>
            </m:r>
          </m:sup>
        </m:sSup>
      </m:oMath>
      <w:r w:rsidR="00B61660">
        <w:rPr>
          <w:rFonts w:eastAsiaTheme="minorEastAsia"/>
          <w:sz w:val="24"/>
          <w:szCs w:val="24"/>
        </w:rPr>
        <w:t xml:space="preserve">, a </w:t>
      </w:r>
      <m:oMath>
        <m:r>
          <w:rPr>
            <w:rFonts w:ascii="Cambria Math" w:eastAsiaTheme="minorEastAsia" w:hAnsi="Cambria Math"/>
            <w:sz w:val="24"/>
            <w:szCs w:val="24"/>
          </w:rPr>
          <m:t>42%</m:t>
        </m:r>
      </m:oMath>
      <w:r w:rsidR="00B61660">
        <w:rPr>
          <w:rFonts w:eastAsiaTheme="minorEastAsia"/>
          <w:sz w:val="24"/>
          <w:szCs w:val="24"/>
        </w:rPr>
        <w:t xml:space="preserve"> improvement in terms of goodness of fit upon the 2-dimensional model.</w:t>
      </w:r>
    </w:p>
    <w:p w14:paraId="07EED92A" w14:textId="77777777" w:rsidR="00B61660" w:rsidRDefault="00B61660" w:rsidP="00B53D46">
      <w:pPr>
        <w:spacing w:line="480" w:lineRule="auto"/>
        <w:jc w:val="both"/>
        <w:rPr>
          <w:rFonts w:eastAsiaTheme="minorEastAsia"/>
          <w:sz w:val="24"/>
          <w:szCs w:val="24"/>
        </w:rPr>
      </w:pPr>
    </w:p>
    <w:p w14:paraId="3C15F2BC" w14:textId="77777777" w:rsidR="00B61660" w:rsidRDefault="00B61660" w:rsidP="00B53D46">
      <w:pPr>
        <w:spacing w:line="480" w:lineRule="auto"/>
        <w:jc w:val="both"/>
        <w:rPr>
          <w:rFonts w:eastAsiaTheme="minorEastAsia"/>
          <w:sz w:val="24"/>
          <w:szCs w:val="24"/>
        </w:rPr>
      </w:pPr>
    </w:p>
    <w:p w14:paraId="7DDC4ABB" w14:textId="6ED208DA" w:rsidR="00B61660" w:rsidRDefault="00B61660" w:rsidP="00B53D46">
      <w:pPr>
        <w:spacing w:line="480" w:lineRule="auto"/>
        <w:jc w:val="both"/>
        <w:rPr>
          <w:rFonts w:eastAsiaTheme="minorEastAsia"/>
          <w:b/>
          <w:bCs/>
          <w:sz w:val="24"/>
          <w:szCs w:val="24"/>
        </w:rPr>
      </w:pPr>
      <w:r>
        <w:rPr>
          <w:rFonts w:eastAsiaTheme="minorEastAsia"/>
          <w:b/>
          <w:bCs/>
          <w:sz w:val="24"/>
          <w:szCs w:val="24"/>
        </w:rPr>
        <w:lastRenderedPageBreak/>
        <w:t>Scaling 2.5</w:t>
      </w:r>
    </w:p>
    <w:p w14:paraId="7B01D94B" w14:textId="45B5ADF5" w:rsidR="00B61660" w:rsidRPr="00B61660" w:rsidRDefault="00B61660" w:rsidP="00B61660">
      <w:pPr>
        <w:spacing w:line="480" w:lineRule="auto"/>
        <w:jc w:val="both"/>
        <w:rPr>
          <w:rFonts w:eastAsiaTheme="minorEastAsia"/>
          <w:i/>
          <w:sz w:val="24"/>
          <w:szCs w:val="24"/>
        </w:rPr>
      </w:pPr>
      <m:oMathPara>
        <m:oMathParaPr>
          <m:jc m:val="center"/>
        </m:oMathParaPr>
        <m:oMath>
          <m:r>
            <w:rPr>
              <w:rFonts w:ascii="Cambria Math" w:eastAsiaTheme="minorEastAsia" w:hAnsi="Cambria Math"/>
              <w:sz w:val="24"/>
              <w:szCs w:val="24"/>
            </w:rPr>
            <m:t>N=120,  M=6000,  k=2</m:t>
          </m:r>
        </m:oMath>
      </m:oMathPara>
    </w:p>
    <w:p w14:paraId="022CC6A1" w14:textId="77777777" w:rsidR="00AE7410" w:rsidRDefault="00AE7410" w:rsidP="00AE7410">
      <w:pPr>
        <w:keepNext/>
        <w:spacing w:line="240" w:lineRule="auto"/>
        <w:jc w:val="center"/>
      </w:pPr>
      <w:r w:rsidRPr="00AE7410">
        <w:rPr>
          <w:rFonts w:eastAsiaTheme="minorEastAsia"/>
          <w:b/>
          <w:bCs/>
          <w:noProof/>
          <w:sz w:val="24"/>
          <w:szCs w:val="24"/>
        </w:rPr>
        <w:drawing>
          <wp:inline distT="0" distB="0" distL="0" distR="0" wp14:anchorId="4BB8C2D2" wp14:editId="372A73CC">
            <wp:extent cx="6005481" cy="3022600"/>
            <wp:effectExtent l="152400" t="152400" r="357505" b="368300"/>
            <wp:docPr id="1479595924" name="Picture 2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95924" name="Picture 28" descr="A screenshot of a graph&#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05921" cy="3022821"/>
                    </a:xfrm>
                    <a:prstGeom prst="rect">
                      <a:avLst/>
                    </a:prstGeom>
                    <a:ln>
                      <a:noFill/>
                    </a:ln>
                    <a:effectLst>
                      <a:outerShdw blurRad="292100" dist="139700" dir="2700000" algn="tl" rotWithShape="0">
                        <a:srgbClr val="333333">
                          <a:alpha val="65000"/>
                        </a:srgbClr>
                      </a:outerShdw>
                    </a:effectLst>
                  </pic:spPr>
                </pic:pic>
              </a:graphicData>
            </a:graphic>
          </wp:inline>
        </w:drawing>
      </w:r>
    </w:p>
    <w:p w14:paraId="4836D7CE" w14:textId="2B3D7A27" w:rsidR="00B61660" w:rsidRPr="00AE7410" w:rsidRDefault="00AE7410" w:rsidP="00AE7410">
      <w:pPr>
        <w:pStyle w:val="Caption"/>
        <w:jc w:val="center"/>
        <w:rPr>
          <w:rFonts w:eastAsiaTheme="minorEastAsia"/>
          <w:b/>
          <w:bCs/>
          <w:sz w:val="22"/>
          <w:szCs w:val="22"/>
        </w:rPr>
      </w:pPr>
      <w:r w:rsidRPr="00AE7410">
        <w:rPr>
          <w:sz w:val="22"/>
          <w:szCs w:val="22"/>
        </w:rPr>
        <w:t>Figure 24: MDS 2.5</w:t>
      </w:r>
      <w:r w:rsidR="00247D7E">
        <w:rPr>
          <w:sz w:val="22"/>
          <w:szCs w:val="22"/>
        </w:rPr>
        <w:t>.</w:t>
      </w:r>
    </w:p>
    <w:p w14:paraId="27CA805A" w14:textId="77777777" w:rsidR="003F3B20" w:rsidRDefault="003F3B20" w:rsidP="00AE7410">
      <w:pPr>
        <w:spacing w:line="480" w:lineRule="auto"/>
        <w:jc w:val="both"/>
        <w:rPr>
          <w:rFonts w:eastAsiaTheme="minorEastAsia"/>
          <w:sz w:val="24"/>
          <w:szCs w:val="24"/>
        </w:rPr>
      </w:pPr>
    </w:p>
    <w:p w14:paraId="420B017F" w14:textId="25E0452C" w:rsidR="00B61660" w:rsidRDefault="00AE7410" w:rsidP="00AE7410">
      <w:pPr>
        <w:spacing w:line="480" w:lineRule="auto"/>
        <w:jc w:val="both"/>
        <w:rPr>
          <w:rFonts w:eastAsiaTheme="minorEastAsia"/>
          <w:sz w:val="24"/>
          <w:szCs w:val="24"/>
        </w:rPr>
      </w:pPr>
      <w:r>
        <w:rPr>
          <w:rFonts w:eastAsiaTheme="minorEastAsia"/>
          <w:sz w:val="24"/>
          <w:szCs w:val="24"/>
        </w:rPr>
        <w:t xml:space="preserve">Zooming in on the last hour of data, Figure 24 displays once again the formation of a single cluster of </w:t>
      </w:r>
      <w:r w:rsidR="003F3B20">
        <w:rPr>
          <w:rFonts w:eastAsiaTheme="minorEastAsia"/>
          <w:sz w:val="24"/>
          <w:szCs w:val="24"/>
        </w:rPr>
        <w:t xml:space="preserve">embedded data points each representing one minute of seismic activity, and the several outlier data points corresponding to heightened seismic activity around the middle of the 2-hour time period, when the main seismic wave hit. The stress value comes back as </w:t>
      </w:r>
      <m:oMath>
        <m:r>
          <w:rPr>
            <w:rFonts w:ascii="Cambria Math" w:eastAsiaTheme="minorEastAsia" w:hAnsi="Cambria Math"/>
            <w:sz w:val="24"/>
            <w:szCs w:val="24"/>
          </w:rPr>
          <m:t>S=1.1556*</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13</m:t>
            </m:r>
          </m:sup>
        </m:sSup>
      </m:oMath>
      <w:r w:rsidR="003F3B20">
        <w:rPr>
          <w:rFonts w:eastAsiaTheme="minorEastAsia"/>
          <w:sz w:val="24"/>
          <w:szCs w:val="24"/>
        </w:rPr>
        <w:t>.</w:t>
      </w:r>
    </w:p>
    <w:p w14:paraId="3526A04C" w14:textId="77777777" w:rsidR="003F3B20" w:rsidRDefault="003F3B20" w:rsidP="00AE7410">
      <w:pPr>
        <w:spacing w:line="480" w:lineRule="auto"/>
        <w:jc w:val="both"/>
        <w:rPr>
          <w:rFonts w:eastAsiaTheme="minorEastAsia"/>
          <w:sz w:val="24"/>
          <w:szCs w:val="24"/>
        </w:rPr>
      </w:pPr>
    </w:p>
    <w:p w14:paraId="6993B9BE" w14:textId="77777777" w:rsidR="00B61660" w:rsidRDefault="00B61660" w:rsidP="00B53D46">
      <w:pPr>
        <w:spacing w:line="480" w:lineRule="auto"/>
        <w:jc w:val="both"/>
        <w:rPr>
          <w:rFonts w:eastAsiaTheme="minorEastAsia"/>
          <w:sz w:val="24"/>
          <w:szCs w:val="24"/>
        </w:rPr>
      </w:pPr>
    </w:p>
    <w:p w14:paraId="5D8AC32D" w14:textId="77777777" w:rsidR="003F3B20" w:rsidRDefault="003F3B20" w:rsidP="00B53D46">
      <w:pPr>
        <w:spacing w:line="480" w:lineRule="auto"/>
        <w:jc w:val="both"/>
        <w:rPr>
          <w:rFonts w:eastAsiaTheme="minorEastAsia"/>
          <w:sz w:val="24"/>
          <w:szCs w:val="24"/>
        </w:rPr>
      </w:pPr>
    </w:p>
    <w:p w14:paraId="3C334486" w14:textId="12E3B296" w:rsidR="003F3B20" w:rsidRDefault="003F3B20" w:rsidP="00B53D46">
      <w:pPr>
        <w:spacing w:line="480" w:lineRule="auto"/>
        <w:jc w:val="both"/>
        <w:rPr>
          <w:rFonts w:eastAsiaTheme="minorEastAsia"/>
          <w:b/>
          <w:bCs/>
          <w:sz w:val="24"/>
          <w:szCs w:val="24"/>
        </w:rPr>
      </w:pPr>
      <w:r>
        <w:rPr>
          <w:rFonts w:eastAsiaTheme="minorEastAsia"/>
          <w:b/>
          <w:bCs/>
          <w:sz w:val="24"/>
          <w:szCs w:val="24"/>
        </w:rPr>
        <w:lastRenderedPageBreak/>
        <w:t>Scaling 2.6</w:t>
      </w:r>
    </w:p>
    <w:p w14:paraId="4C31D7D1" w14:textId="50789684" w:rsidR="003F3B20" w:rsidRPr="007F432C" w:rsidRDefault="003F3B20" w:rsidP="003F3B20">
      <w:pPr>
        <w:spacing w:line="480" w:lineRule="auto"/>
        <w:jc w:val="both"/>
        <w:rPr>
          <w:rFonts w:eastAsiaTheme="minorEastAsia"/>
          <w:i/>
          <w:sz w:val="24"/>
          <w:szCs w:val="24"/>
        </w:rPr>
      </w:pPr>
      <m:oMathPara>
        <m:oMathParaPr>
          <m:jc m:val="center"/>
        </m:oMathParaPr>
        <m:oMath>
          <m:r>
            <w:rPr>
              <w:rFonts w:ascii="Cambria Math" w:eastAsiaTheme="minorEastAsia" w:hAnsi="Cambria Math"/>
              <w:sz w:val="24"/>
              <w:szCs w:val="24"/>
            </w:rPr>
            <m:t>N=1000,  M=720,  k=2</m:t>
          </m:r>
        </m:oMath>
      </m:oMathPara>
    </w:p>
    <w:p w14:paraId="4AB823AC" w14:textId="77777777" w:rsidR="005617B5" w:rsidRDefault="007F432C" w:rsidP="005617B5">
      <w:pPr>
        <w:keepNext/>
        <w:spacing w:line="240" w:lineRule="auto"/>
        <w:jc w:val="center"/>
      </w:pPr>
      <w:r w:rsidRPr="007F432C">
        <w:rPr>
          <w:rFonts w:eastAsiaTheme="minorEastAsia"/>
          <w:iCs/>
          <w:noProof/>
          <w:sz w:val="24"/>
          <w:szCs w:val="24"/>
        </w:rPr>
        <w:drawing>
          <wp:inline distT="0" distB="0" distL="0" distR="0" wp14:anchorId="4451C0C8" wp14:editId="1D6FF11C">
            <wp:extent cx="5734050" cy="2705100"/>
            <wp:effectExtent l="152400" t="152400" r="361950" b="361950"/>
            <wp:docPr id="374499720" name="Picture 29" descr="A graph showing a large number of earthquak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99720" name="Picture 29" descr="A graph showing a large number of earthquake&#10;&#10;Description automatically generated with medium confidenc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4050" cy="2705100"/>
                    </a:xfrm>
                    <a:prstGeom prst="rect">
                      <a:avLst/>
                    </a:prstGeom>
                    <a:ln>
                      <a:noFill/>
                    </a:ln>
                    <a:effectLst>
                      <a:outerShdw blurRad="292100" dist="139700" dir="2700000" algn="tl" rotWithShape="0">
                        <a:srgbClr val="333333">
                          <a:alpha val="65000"/>
                        </a:srgbClr>
                      </a:outerShdw>
                    </a:effectLst>
                  </pic:spPr>
                </pic:pic>
              </a:graphicData>
            </a:graphic>
          </wp:inline>
        </w:drawing>
      </w:r>
      <w:r w:rsidR="005617B5">
        <w:rPr>
          <w:rFonts w:eastAsiaTheme="minorEastAsia"/>
          <w:iCs/>
          <w:sz w:val="24"/>
          <w:szCs w:val="24"/>
        </w:rPr>
        <w:br/>
      </w:r>
      <w:r w:rsidR="005617B5" w:rsidRPr="005617B5">
        <w:rPr>
          <w:rFonts w:eastAsiaTheme="minorEastAsia"/>
          <w:iCs/>
          <w:noProof/>
          <w:sz w:val="24"/>
          <w:szCs w:val="24"/>
        </w:rPr>
        <w:drawing>
          <wp:inline distT="0" distB="0" distL="0" distR="0" wp14:anchorId="71B53EC6" wp14:editId="04F251E0">
            <wp:extent cx="5734050" cy="2705100"/>
            <wp:effectExtent l="152400" t="152400" r="361950" b="361950"/>
            <wp:docPr id="327873861" name="Picture 30" descr="A diagram of a cluster of colore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73861" name="Picture 30" descr="A diagram of a cluster of colored dots&#10;&#10;Description automatically generated with medium confidenc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4050" cy="2705100"/>
                    </a:xfrm>
                    <a:prstGeom prst="rect">
                      <a:avLst/>
                    </a:prstGeom>
                    <a:ln>
                      <a:noFill/>
                    </a:ln>
                    <a:effectLst>
                      <a:outerShdw blurRad="292100" dist="139700" dir="2700000" algn="tl" rotWithShape="0">
                        <a:srgbClr val="333333">
                          <a:alpha val="65000"/>
                        </a:srgbClr>
                      </a:outerShdw>
                    </a:effectLst>
                  </pic:spPr>
                </pic:pic>
              </a:graphicData>
            </a:graphic>
          </wp:inline>
        </w:drawing>
      </w:r>
    </w:p>
    <w:p w14:paraId="6BCAD243" w14:textId="7084031B" w:rsidR="007F432C" w:rsidRPr="003F3B20" w:rsidRDefault="005617B5" w:rsidP="005617B5">
      <w:pPr>
        <w:pStyle w:val="Caption"/>
        <w:jc w:val="center"/>
        <w:rPr>
          <w:rFonts w:eastAsiaTheme="minorEastAsia"/>
          <w:iCs w:val="0"/>
          <w:sz w:val="22"/>
          <w:szCs w:val="22"/>
        </w:rPr>
      </w:pPr>
      <w:r w:rsidRPr="005617B5">
        <w:rPr>
          <w:sz w:val="22"/>
          <w:szCs w:val="22"/>
        </w:rPr>
        <w:t>Figure 25: MDS 2.6</w:t>
      </w:r>
      <w:r w:rsidR="00247D7E">
        <w:rPr>
          <w:sz w:val="22"/>
          <w:szCs w:val="22"/>
        </w:rPr>
        <w:t>.</w:t>
      </w:r>
      <w:r>
        <w:rPr>
          <w:sz w:val="22"/>
          <w:szCs w:val="22"/>
        </w:rPr>
        <w:t xml:space="preserve"> and zoom</w:t>
      </w:r>
    </w:p>
    <w:p w14:paraId="3189DBB3" w14:textId="363C441A" w:rsidR="007636F1" w:rsidRDefault="005617B5" w:rsidP="00B53D46">
      <w:pPr>
        <w:spacing w:line="480" w:lineRule="auto"/>
        <w:jc w:val="both"/>
        <w:rPr>
          <w:rFonts w:eastAsiaTheme="minorEastAsia"/>
          <w:sz w:val="24"/>
          <w:szCs w:val="24"/>
        </w:rPr>
      </w:pPr>
      <w:r>
        <w:rPr>
          <w:rFonts w:eastAsiaTheme="minorEastAsia"/>
          <w:sz w:val="24"/>
          <w:szCs w:val="24"/>
        </w:rPr>
        <w:t xml:space="preserve">Increasing the number of observed time windows </w:t>
      </w:r>
      <w:r w:rsidR="00A10A6A">
        <w:rPr>
          <w:rFonts w:eastAsiaTheme="minorEastAsia"/>
          <w:sz w:val="24"/>
          <w:szCs w:val="24"/>
        </w:rPr>
        <w:t>upon MDS 2.5</w:t>
      </w:r>
      <w:r w:rsidR="00247D7E">
        <w:rPr>
          <w:rFonts w:eastAsiaTheme="minorEastAsia"/>
          <w:sz w:val="24"/>
          <w:szCs w:val="24"/>
        </w:rPr>
        <w:t>.</w:t>
      </w:r>
      <w:r w:rsidR="00A10A6A">
        <w:rPr>
          <w:rFonts w:eastAsiaTheme="minorEastAsia"/>
          <w:sz w:val="24"/>
          <w:szCs w:val="24"/>
        </w:rPr>
        <w:t xml:space="preserve">, the visual representation of the main earthquake becomes more distinguishable as all of the outlier data points are around the one-hour mark with only </w:t>
      </w:r>
      <m:oMath>
        <m:r>
          <w:rPr>
            <w:rFonts w:ascii="Cambria Math" w:eastAsiaTheme="minorEastAsia" w:hAnsi="Cambria Math"/>
            <w:sz w:val="24"/>
            <w:szCs w:val="24"/>
          </w:rPr>
          <m:t>9*7.2s=64.8 seconds</m:t>
        </m:r>
      </m:oMath>
      <w:r w:rsidR="00A10A6A">
        <w:rPr>
          <w:rFonts w:eastAsiaTheme="minorEastAsia"/>
          <w:sz w:val="24"/>
          <w:szCs w:val="24"/>
        </w:rPr>
        <w:t xml:space="preserve">, a little more </w:t>
      </w:r>
      <w:r w:rsidR="00A10A6A">
        <w:rPr>
          <w:rFonts w:eastAsiaTheme="minorEastAsia"/>
          <w:sz w:val="24"/>
          <w:szCs w:val="24"/>
        </w:rPr>
        <w:lastRenderedPageBreak/>
        <w:t>than a minute passed between the two main outliers furthest away in time (labelled ‘509’ and ‘</w:t>
      </w:r>
      <w:r w:rsidR="00A10A6A" w:rsidRPr="00A10A6A">
        <w:rPr>
          <w:rFonts w:eastAsiaTheme="minorEastAsia"/>
          <w:sz w:val="24"/>
          <w:szCs w:val="24"/>
        </w:rPr>
        <w:t>518</w:t>
      </w:r>
      <w:r w:rsidR="00A10A6A">
        <w:rPr>
          <w:rFonts w:eastAsiaTheme="minorEastAsia"/>
          <w:sz w:val="24"/>
          <w:szCs w:val="24"/>
        </w:rPr>
        <w:t xml:space="preserve">’ on Figure 25), therefore, at first glance it could be assessed that the MDS model only carries any meaningful information for one minute of the 2-hour time series. However, zooming in on the main cluster, the ellipticity of the embedding becomes apparent – similarly to MDS 2.2. – and </w:t>
      </w:r>
      <w:r w:rsidR="00DF3016">
        <w:rPr>
          <w:rFonts w:eastAsiaTheme="minorEastAsia"/>
          <w:sz w:val="24"/>
          <w:szCs w:val="24"/>
        </w:rPr>
        <w:t xml:space="preserve">there appears to be a ring of magenta points around the centre representing the period just before the main wave, which is more promising in terms of the utility of MDS models for short-term prediction. The stress value is </w:t>
      </w:r>
      <m:oMath>
        <m:r>
          <w:rPr>
            <w:rFonts w:ascii="Cambria Math" w:eastAsiaTheme="minorEastAsia" w:hAnsi="Cambria Math"/>
            <w:sz w:val="24"/>
            <w:szCs w:val="24"/>
          </w:rPr>
          <m:t>S=4.1233*</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13</m:t>
            </m:r>
          </m:sup>
        </m:sSup>
      </m:oMath>
      <w:r w:rsidR="00DF3016">
        <w:rPr>
          <w:rFonts w:eastAsiaTheme="minorEastAsia"/>
          <w:sz w:val="24"/>
          <w:szCs w:val="24"/>
        </w:rPr>
        <w:t xml:space="preserve">, more than a </w:t>
      </w:r>
      <m:oMath>
        <m:r>
          <w:rPr>
            <w:rFonts w:ascii="Cambria Math" w:eastAsiaTheme="minorEastAsia" w:hAnsi="Cambria Math"/>
            <w:sz w:val="24"/>
            <w:szCs w:val="24"/>
          </w:rPr>
          <m:t>250%</m:t>
        </m:r>
      </m:oMath>
      <w:r w:rsidR="00DF3016">
        <w:rPr>
          <w:rFonts w:eastAsiaTheme="minorEastAsia"/>
          <w:sz w:val="24"/>
          <w:szCs w:val="24"/>
        </w:rPr>
        <w:t xml:space="preserve"> increase in stress</w:t>
      </w:r>
      <w:r w:rsidR="007636F1">
        <w:rPr>
          <w:rFonts w:eastAsiaTheme="minorEastAsia"/>
          <w:sz w:val="24"/>
          <w:szCs w:val="24"/>
        </w:rPr>
        <w:t xml:space="preserve"> upon MDS 2.5</w:t>
      </w:r>
      <w:r w:rsidR="00247D7E">
        <w:rPr>
          <w:rFonts w:eastAsiaTheme="minorEastAsia"/>
          <w:sz w:val="24"/>
          <w:szCs w:val="24"/>
        </w:rPr>
        <w:t>.</w:t>
      </w:r>
      <w:r w:rsidR="00DF3016">
        <w:rPr>
          <w:rFonts w:eastAsiaTheme="minorEastAsia"/>
          <w:sz w:val="24"/>
          <w:szCs w:val="24"/>
        </w:rPr>
        <w:t xml:space="preserve"> </w:t>
      </w:r>
      <w:r w:rsidR="007636F1">
        <w:rPr>
          <w:rFonts w:eastAsiaTheme="minorEastAsia"/>
          <w:sz w:val="24"/>
          <w:szCs w:val="24"/>
        </w:rPr>
        <w:t>with the increased number of fitted distances.</w:t>
      </w:r>
    </w:p>
    <w:p w14:paraId="7EF8D62D" w14:textId="137813F4" w:rsidR="00247D7E" w:rsidRDefault="00247D7E" w:rsidP="00B53D46">
      <w:pPr>
        <w:spacing w:line="480" w:lineRule="auto"/>
        <w:jc w:val="both"/>
        <w:rPr>
          <w:rFonts w:eastAsiaTheme="minorEastAsia"/>
          <w:b/>
          <w:bCs/>
          <w:sz w:val="24"/>
          <w:szCs w:val="24"/>
        </w:rPr>
      </w:pPr>
      <w:r>
        <w:rPr>
          <w:rFonts w:eastAsiaTheme="minorEastAsia"/>
          <w:b/>
          <w:bCs/>
          <w:sz w:val="24"/>
          <w:szCs w:val="24"/>
        </w:rPr>
        <w:t>Scaling 2.7</w:t>
      </w:r>
    </w:p>
    <w:p w14:paraId="438036B8" w14:textId="5465B082" w:rsidR="00247D7E" w:rsidRPr="00247D7E" w:rsidRDefault="00247D7E" w:rsidP="00247D7E">
      <w:pPr>
        <w:spacing w:line="480" w:lineRule="auto"/>
        <w:jc w:val="both"/>
        <w:rPr>
          <w:rFonts w:eastAsiaTheme="minorEastAsia"/>
          <w:i/>
          <w:sz w:val="24"/>
          <w:szCs w:val="24"/>
        </w:rPr>
      </w:pPr>
      <m:oMathPara>
        <m:oMathParaPr>
          <m:jc m:val="center"/>
        </m:oMathParaPr>
        <m:oMath>
          <m:r>
            <w:rPr>
              <w:rFonts w:ascii="Cambria Math" w:eastAsiaTheme="minorEastAsia" w:hAnsi="Cambria Math"/>
              <w:sz w:val="24"/>
              <w:szCs w:val="24"/>
            </w:rPr>
            <m:t>N=1000,  M=720,  k=3</m:t>
          </m:r>
        </m:oMath>
      </m:oMathPara>
    </w:p>
    <w:p w14:paraId="1473A311" w14:textId="77777777" w:rsidR="00247D7E" w:rsidRDefault="00247D7E" w:rsidP="00247D7E">
      <w:pPr>
        <w:keepNext/>
        <w:spacing w:line="240" w:lineRule="auto"/>
        <w:jc w:val="center"/>
      </w:pPr>
      <w:r w:rsidRPr="00247D7E">
        <w:rPr>
          <w:rFonts w:eastAsiaTheme="minorEastAsia"/>
          <w:b/>
          <w:bCs/>
          <w:noProof/>
          <w:sz w:val="24"/>
          <w:szCs w:val="24"/>
        </w:rPr>
        <w:drawing>
          <wp:inline distT="0" distB="0" distL="0" distR="0" wp14:anchorId="400071D6" wp14:editId="2EAC86D8">
            <wp:extent cx="5734050" cy="2590800"/>
            <wp:effectExtent l="152400" t="152400" r="361950" b="361950"/>
            <wp:docPr id="293990590" name="Picture 31" descr="A graph of earthquake with numbers and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90590" name="Picture 31" descr="A graph of earthquake with numbers and red dots&#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4050" cy="2590800"/>
                    </a:xfrm>
                    <a:prstGeom prst="rect">
                      <a:avLst/>
                    </a:prstGeom>
                    <a:ln>
                      <a:noFill/>
                    </a:ln>
                    <a:effectLst>
                      <a:outerShdw blurRad="292100" dist="139700" dir="2700000" algn="tl" rotWithShape="0">
                        <a:srgbClr val="333333">
                          <a:alpha val="65000"/>
                        </a:srgbClr>
                      </a:outerShdw>
                    </a:effectLst>
                  </pic:spPr>
                </pic:pic>
              </a:graphicData>
            </a:graphic>
          </wp:inline>
        </w:drawing>
      </w:r>
    </w:p>
    <w:p w14:paraId="14F62F45" w14:textId="7B2673F3" w:rsidR="00247D7E" w:rsidRPr="00247D7E" w:rsidRDefault="00247D7E" w:rsidP="00247D7E">
      <w:pPr>
        <w:pStyle w:val="Caption"/>
        <w:jc w:val="center"/>
        <w:rPr>
          <w:rFonts w:eastAsiaTheme="minorEastAsia"/>
          <w:b/>
          <w:bCs/>
          <w:sz w:val="22"/>
          <w:szCs w:val="22"/>
        </w:rPr>
      </w:pPr>
      <w:r w:rsidRPr="00247D7E">
        <w:rPr>
          <w:sz w:val="22"/>
          <w:szCs w:val="22"/>
        </w:rPr>
        <w:t>Figure 26: MDS 2.7.</w:t>
      </w:r>
    </w:p>
    <w:p w14:paraId="69FADCF2" w14:textId="6568BC11" w:rsidR="00247D7E" w:rsidRDefault="00247D7E" w:rsidP="00B53D46">
      <w:pPr>
        <w:spacing w:line="480" w:lineRule="auto"/>
        <w:jc w:val="both"/>
        <w:rPr>
          <w:rFonts w:eastAsiaTheme="minorEastAsia"/>
          <w:sz w:val="24"/>
          <w:szCs w:val="24"/>
        </w:rPr>
      </w:pPr>
      <w:r>
        <w:rPr>
          <w:rFonts w:eastAsiaTheme="minorEastAsia"/>
          <w:sz w:val="24"/>
          <w:szCs w:val="24"/>
        </w:rPr>
        <w:t>For the 7</w:t>
      </w:r>
      <w:r w:rsidRPr="00247D7E">
        <w:rPr>
          <w:rFonts w:eastAsiaTheme="minorEastAsia"/>
          <w:sz w:val="24"/>
          <w:szCs w:val="24"/>
          <w:vertAlign w:val="superscript"/>
        </w:rPr>
        <w:t>th</w:t>
      </w:r>
      <w:r>
        <w:rPr>
          <w:rFonts w:eastAsiaTheme="minorEastAsia"/>
          <w:sz w:val="24"/>
          <w:szCs w:val="24"/>
        </w:rPr>
        <w:t xml:space="preserve"> and final model, adding a third dimension to MDS 2.6. does not provide much additional information to </w:t>
      </w:r>
      <w:r w:rsidR="001B4AF1">
        <w:rPr>
          <w:rFonts w:eastAsiaTheme="minorEastAsia"/>
          <w:sz w:val="24"/>
          <w:szCs w:val="24"/>
        </w:rPr>
        <w:t xml:space="preserve">the data interpretation as only the outlier embedded points are distinguishable on the 3D plot and deep zooming is not possible due to the computational </w:t>
      </w:r>
      <w:r w:rsidR="001B4AF1">
        <w:rPr>
          <w:rFonts w:eastAsiaTheme="minorEastAsia"/>
          <w:sz w:val="24"/>
          <w:szCs w:val="24"/>
        </w:rPr>
        <w:lastRenderedPageBreak/>
        <w:t xml:space="preserve">limitations of the software. Nevertheless, it does provide a visual representation of the temporal decomposition of the main seismic event. The computed stress value comes back as </w:t>
      </w:r>
      <m:oMath>
        <m:r>
          <w:rPr>
            <w:rFonts w:ascii="Cambria Math" w:eastAsiaTheme="minorEastAsia" w:hAnsi="Cambria Math"/>
            <w:sz w:val="24"/>
            <w:szCs w:val="24"/>
          </w:rPr>
          <m:t>S=2.5665*</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13</m:t>
            </m:r>
          </m:sup>
        </m:sSup>
      </m:oMath>
      <w:r w:rsidR="001B4AF1">
        <w:rPr>
          <w:rFonts w:eastAsiaTheme="minorEastAsia"/>
          <w:sz w:val="24"/>
          <w:szCs w:val="24"/>
        </w:rPr>
        <w:t>,</w:t>
      </w:r>
      <w:r w:rsidR="00B8082C">
        <w:rPr>
          <w:rFonts w:eastAsiaTheme="minorEastAsia"/>
          <w:sz w:val="24"/>
          <w:szCs w:val="24"/>
        </w:rPr>
        <w:t xml:space="preserve"> a </w:t>
      </w:r>
      <m:oMath>
        <m:r>
          <w:rPr>
            <w:rFonts w:ascii="Cambria Math" w:eastAsiaTheme="minorEastAsia" w:hAnsi="Cambria Math"/>
            <w:sz w:val="24"/>
            <w:szCs w:val="24"/>
          </w:rPr>
          <m:t>38%</m:t>
        </m:r>
      </m:oMath>
      <w:r w:rsidR="00B8082C">
        <w:rPr>
          <w:rFonts w:eastAsiaTheme="minorEastAsia"/>
          <w:sz w:val="24"/>
          <w:szCs w:val="24"/>
        </w:rPr>
        <w:t xml:space="preserve"> improvement in goodness of fit upon MDS 2.6.</w:t>
      </w:r>
    </w:p>
    <w:p w14:paraId="0F04917A" w14:textId="77777777" w:rsidR="00C41311" w:rsidRDefault="00C41311" w:rsidP="00B53D46">
      <w:pPr>
        <w:spacing w:line="480" w:lineRule="auto"/>
        <w:jc w:val="both"/>
        <w:rPr>
          <w:rFonts w:eastAsiaTheme="minorEastAsia"/>
          <w:b/>
          <w:bCs/>
          <w:sz w:val="28"/>
          <w:szCs w:val="28"/>
        </w:rPr>
      </w:pPr>
    </w:p>
    <w:p w14:paraId="0A6FD000" w14:textId="194BE107" w:rsidR="00B8082C" w:rsidRDefault="00B8082C" w:rsidP="00B53D46">
      <w:pPr>
        <w:spacing w:line="480" w:lineRule="auto"/>
        <w:jc w:val="both"/>
        <w:rPr>
          <w:rFonts w:eastAsiaTheme="minorEastAsia"/>
          <w:b/>
          <w:bCs/>
          <w:sz w:val="28"/>
          <w:szCs w:val="28"/>
        </w:rPr>
      </w:pPr>
      <w:r>
        <w:rPr>
          <w:rFonts w:eastAsiaTheme="minorEastAsia"/>
          <w:b/>
          <w:bCs/>
          <w:sz w:val="28"/>
          <w:szCs w:val="28"/>
        </w:rPr>
        <w:t>Conclusion</w:t>
      </w:r>
    </w:p>
    <w:p w14:paraId="67CAF45E" w14:textId="0B1CBE3E" w:rsidR="003F3B20" w:rsidRPr="005617B5" w:rsidRDefault="00B8082C" w:rsidP="00B53D46">
      <w:pPr>
        <w:spacing w:line="480" w:lineRule="auto"/>
        <w:jc w:val="both"/>
        <w:rPr>
          <w:rFonts w:eastAsiaTheme="minorEastAsia"/>
          <w:sz w:val="24"/>
          <w:szCs w:val="24"/>
        </w:rPr>
      </w:pPr>
      <w:r>
        <w:rPr>
          <w:rFonts w:eastAsiaTheme="minorEastAsia"/>
          <w:sz w:val="24"/>
          <w:szCs w:val="24"/>
        </w:rPr>
        <w:t xml:space="preserve">This </w:t>
      </w:r>
      <w:r w:rsidR="002605F2">
        <w:rPr>
          <w:rFonts w:eastAsiaTheme="minorEastAsia"/>
          <w:sz w:val="24"/>
          <w:szCs w:val="24"/>
        </w:rPr>
        <w:t xml:space="preserve">report aimed to summarize the results of fitting metric multidimensional scaling models on time-series data obtained from two different earthquakes in the same year, the first with its epicentre in the Japanese mainland, the second off-shore in the Pacific Ocean. With a multitude of models applied, taking as input different lengths of time series data and scales of dimensionality reduction, the visual outputs do not appear to greatly favour the general applicability of MDS in the computationally complicated and technologically demanding field of earthquake prediction. The principal objective of the visual analysis was to distinguish clusters in the </w:t>
      </w:r>
      <w:r w:rsidR="00E27FA0">
        <w:rPr>
          <w:rFonts w:eastAsiaTheme="minorEastAsia"/>
          <w:sz w:val="24"/>
          <w:szCs w:val="24"/>
        </w:rPr>
        <w:t>two- and three-dimensional</w:t>
      </w:r>
      <w:r w:rsidR="002605F2">
        <w:rPr>
          <w:rFonts w:eastAsiaTheme="minorEastAsia"/>
          <w:sz w:val="24"/>
          <w:szCs w:val="24"/>
        </w:rPr>
        <w:t xml:space="preserve"> embedding spaces in order to gain a more refined understanding of seismic activities preceding earthquakes</w:t>
      </w:r>
      <w:r w:rsidR="00E27FA0">
        <w:rPr>
          <w:rFonts w:eastAsiaTheme="minorEastAsia"/>
          <w:sz w:val="24"/>
          <w:szCs w:val="24"/>
        </w:rPr>
        <w:t xml:space="preserve"> to facilitate the advancement of predictive science. However, the vast majority of the models produced a single, oval cluster of embedded data points with several outliers representing heightened seismic activity, with some circular convergence of </w:t>
      </w:r>
      <w:r w:rsidR="00C41311">
        <w:rPr>
          <w:rFonts w:eastAsiaTheme="minorEastAsia"/>
          <w:sz w:val="24"/>
          <w:szCs w:val="24"/>
        </w:rPr>
        <w:t>data representing similar time periods which may yet provide some predictive value once observed within a more thorough study</w:t>
      </w:r>
      <w:r w:rsidR="00E27FA0">
        <w:rPr>
          <w:rFonts w:eastAsiaTheme="minorEastAsia"/>
          <w:sz w:val="24"/>
          <w:szCs w:val="24"/>
        </w:rPr>
        <w:t xml:space="preserve">. Where MDS did seem to yield results was in the domain of distinguishing between nighttime and daytime periods of seismic activity. Therefore, if combined with a different set of machine learning methods, multidimensional scaling could be successfully used for classification purposes as an element of a broader predictive analysis in future seismological research.  </w:t>
      </w:r>
    </w:p>
    <w:p w14:paraId="70D1A8FB" w14:textId="4454AC2F" w:rsidR="003F3B20" w:rsidRDefault="004B6D2D" w:rsidP="00B53D46">
      <w:pPr>
        <w:spacing w:line="480" w:lineRule="auto"/>
        <w:jc w:val="both"/>
        <w:rPr>
          <w:rFonts w:eastAsiaTheme="minorEastAsia"/>
          <w:b/>
          <w:bCs/>
          <w:sz w:val="28"/>
          <w:szCs w:val="28"/>
        </w:rPr>
      </w:pPr>
      <w:r>
        <w:rPr>
          <w:rFonts w:eastAsiaTheme="minorEastAsia"/>
          <w:b/>
          <w:bCs/>
          <w:sz w:val="28"/>
          <w:szCs w:val="28"/>
        </w:rPr>
        <w:lastRenderedPageBreak/>
        <w:t>Bibliography</w:t>
      </w:r>
    </w:p>
    <w:p w14:paraId="1C2427DC" w14:textId="77777777" w:rsidR="004B6D2D" w:rsidRPr="004B6D2D" w:rsidRDefault="004B6D2D" w:rsidP="004B6D2D">
      <w:pPr>
        <w:pStyle w:val="Bibliography"/>
        <w:spacing w:line="480" w:lineRule="auto"/>
        <w:rPr>
          <w:rFonts w:ascii="Aptos" w:hAnsi="Aptos"/>
          <w:sz w:val="24"/>
        </w:rPr>
      </w:pPr>
      <w:r>
        <w:rPr>
          <w:rFonts w:eastAsiaTheme="minorEastAsia"/>
          <w:sz w:val="24"/>
          <w:szCs w:val="24"/>
        </w:rPr>
        <w:fldChar w:fldCharType="begin"/>
      </w:r>
      <w:r>
        <w:rPr>
          <w:rFonts w:eastAsiaTheme="minorEastAsia"/>
          <w:sz w:val="24"/>
          <w:szCs w:val="24"/>
        </w:rPr>
        <w:instrText xml:space="preserve"> ADDIN ZOTERO_BIBL {"uncited":[],"omitted":[],"custom":[]} CSL_BIBLIOGRAPHY </w:instrText>
      </w:r>
      <w:r>
        <w:rPr>
          <w:rFonts w:eastAsiaTheme="minorEastAsia"/>
          <w:sz w:val="24"/>
          <w:szCs w:val="24"/>
        </w:rPr>
        <w:fldChar w:fldCharType="separate"/>
      </w:r>
      <w:r w:rsidRPr="004B6D2D">
        <w:rPr>
          <w:rFonts w:ascii="Aptos" w:hAnsi="Aptos"/>
          <w:sz w:val="24"/>
        </w:rPr>
        <w:t xml:space="preserve">Bao, Zhenyu, Jingyu Zhao, Pu Huang, Shanshan Yong, and Xin’an Wang. ‘A Deep Learning-Based Electromagnetic Signal for Earthquake Magnitude Prediction’. </w:t>
      </w:r>
      <w:r w:rsidRPr="004B6D2D">
        <w:rPr>
          <w:rFonts w:ascii="Aptos" w:hAnsi="Aptos"/>
          <w:i/>
          <w:iCs/>
          <w:sz w:val="24"/>
        </w:rPr>
        <w:t>Sensors</w:t>
      </w:r>
      <w:r w:rsidRPr="004B6D2D">
        <w:rPr>
          <w:rFonts w:ascii="Aptos" w:hAnsi="Aptos"/>
          <w:sz w:val="24"/>
        </w:rPr>
        <w:t xml:space="preserve"> 21, no. 13 (January 2021): 4434. https://doi.org/10.3390/s21134434.</w:t>
      </w:r>
    </w:p>
    <w:p w14:paraId="3219EA54" w14:textId="77777777" w:rsidR="004B6D2D" w:rsidRPr="004B6D2D" w:rsidRDefault="004B6D2D" w:rsidP="004B6D2D">
      <w:pPr>
        <w:pStyle w:val="Bibliography"/>
        <w:spacing w:line="480" w:lineRule="auto"/>
        <w:rPr>
          <w:rFonts w:ascii="Aptos" w:hAnsi="Aptos"/>
          <w:sz w:val="24"/>
        </w:rPr>
      </w:pPr>
      <w:r w:rsidRPr="004B6D2D">
        <w:rPr>
          <w:rFonts w:ascii="Aptos" w:hAnsi="Aptos"/>
          <w:sz w:val="24"/>
        </w:rPr>
        <w:t xml:space="preserve">B.Kruskal, Joseph, and Myron Wish. </w:t>
      </w:r>
      <w:r w:rsidRPr="004B6D2D">
        <w:rPr>
          <w:rFonts w:ascii="Aptos" w:hAnsi="Aptos"/>
          <w:i/>
          <w:iCs/>
          <w:sz w:val="24"/>
        </w:rPr>
        <w:t>Multidimensional Scaling</w:t>
      </w:r>
      <w:r w:rsidRPr="004B6D2D">
        <w:rPr>
          <w:rFonts w:ascii="Aptos" w:hAnsi="Aptos"/>
          <w:sz w:val="24"/>
        </w:rPr>
        <w:t>. SAGE Publications, Inc., 1978. https://doi.org/10.4135/9781412985130.</w:t>
      </w:r>
    </w:p>
    <w:p w14:paraId="273F7654" w14:textId="77777777" w:rsidR="004B6D2D" w:rsidRPr="004B6D2D" w:rsidRDefault="004B6D2D" w:rsidP="004B6D2D">
      <w:pPr>
        <w:pStyle w:val="Bibliography"/>
        <w:spacing w:line="480" w:lineRule="auto"/>
        <w:rPr>
          <w:rFonts w:ascii="Aptos" w:hAnsi="Aptos"/>
          <w:sz w:val="24"/>
        </w:rPr>
      </w:pPr>
      <w:r w:rsidRPr="004B6D2D">
        <w:rPr>
          <w:rFonts w:ascii="Aptos" w:hAnsi="Aptos"/>
          <w:sz w:val="24"/>
        </w:rPr>
        <w:t xml:space="preserve">Buja, Andreas, Deborah F Swayne, Michael L Littman, Nathaniel Dean, Heike Hofmann, and Lisha Chen. ‘Data Visualization With Multidimensional Scaling’. </w:t>
      </w:r>
      <w:r w:rsidRPr="004B6D2D">
        <w:rPr>
          <w:rFonts w:ascii="Aptos" w:hAnsi="Aptos"/>
          <w:i/>
          <w:iCs/>
          <w:sz w:val="24"/>
        </w:rPr>
        <w:t>Journal of Computational and Graphical Statistics</w:t>
      </w:r>
      <w:r w:rsidRPr="004B6D2D">
        <w:rPr>
          <w:rFonts w:ascii="Aptos" w:hAnsi="Aptos"/>
          <w:sz w:val="24"/>
        </w:rPr>
        <w:t xml:space="preserve"> 17, no. 2 (1 June 2008): 444–72. https://doi.org/10.1198/106186008X318440.</w:t>
      </w:r>
    </w:p>
    <w:p w14:paraId="48AB37E0" w14:textId="77777777" w:rsidR="004B6D2D" w:rsidRPr="004B6D2D" w:rsidRDefault="004B6D2D" w:rsidP="004B6D2D">
      <w:pPr>
        <w:pStyle w:val="Bibliography"/>
        <w:spacing w:line="480" w:lineRule="auto"/>
        <w:rPr>
          <w:rFonts w:ascii="Aptos" w:hAnsi="Aptos"/>
          <w:sz w:val="24"/>
        </w:rPr>
      </w:pPr>
      <w:r w:rsidRPr="004B6D2D">
        <w:rPr>
          <w:rFonts w:ascii="Aptos" w:hAnsi="Aptos"/>
          <w:sz w:val="24"/>
        </w:rPr>
        <w:t xml:space="preserve">Cao, Chen, Xiangbin Wu, Lizhi Yang, Qian Zhang, Xianying Wang, David A. Yuen, and Gang Luo. ‘Long Short-Term Memory Networks for Pattern Recognition of Synthetical Complete Earthquake Catalog’. </w:t>
      </w:r>
      <w:r w:rsidRPr="004B6D2D">
        <w:rPr>
          <w:rFonts w:ascii="Aptos" w:hAnsi="Aptos"/>
          <w:i/>
          <w:iCs/>
          <w:sz w:val="24"/>
        </w:rPr>
        <w:t>Sustainability</w:t>
      </w:r>
      <w:r w:rsidRPr="004B6D2D">
        <w:rPr>
          <w:rFonts w:ascii="Aptos" w:hAnsi="Aptos"/>
          <w:sz w:val="24"/>
        </w:rPr>
        <w:t xml:space="preserve"> 13, no. 9 (January 2021): 4905. https://doi.org/10.3390/su13094905.</w:t>
      </w:r>
    </w:p>
    <w:p w14:paraId="6B8B7187" w14:textId="77777777" w:rsidR="004B6D2D" w:rsidRPr="004B6D2D" w:rsidRDefault="004B6D2D" w:rsidP="004B6D2D">
      <w:pPr>
        <w:pStyle w:val="Bibliography"/>
        <w:spacing w:line="480" w:lineRule="auto"/>
        <w:rPr>
          <w:rFonts w:ascii="Aptos" w:hAnsi="Aptos"/>
          <w:sz w:val="24"/>
        </w:rPr>
      </w:pPr>
      <w:r w:rsidRPr="004B6D2D">
        <w:rPr>
          <w:rFonts w:ascii="Aptos" w:hAnsi="Aptos"/>
          <w:sz w:val="24"/>
        </w:rPr>
        <w:t>Centre for Research on the Epidemiology of Disasters (CRED). ‘Death Toll in Great Earthquakes 1900-2023’, n.d. https://www.statista.com/statistics/266325/death-toll-in-great-earthquakes/.</w:t>
      </w:r>
    </w:p>
    <w:p w14:paraId="5F8F2A1F" w14:textId="77777777" w:rsidR="004B6D2D" w:rsidRPr="004B6D2D" w:rsidRDefault="004B6D2D" w:rsidP="004B6D2D">
      <w:pPr>
        <w:pStyle w:val="Bibliography"/>
        <w:spacing w:line="480" w:lineRule="auto"/>
        <w:rPr>
          <w:rFonts w:ascii="Aptos" w:hAnsi="Aptos"/>
          <w:sz w:val="24"/>
        </w:rPr>
      </w:pPr>
      <w:r w:rsidRPr="004B6D2D">
        <w:rPr>
          <w:rFonts w:ascii="Aptos" w:hAnsi="Aptos"/>
          <w:sz w:val="24"/>
        </w:rPr>
        <w:t xml:space="preserve">Cliff, A. D., P. Haggett, M. R. Smallman-Raynor, D. F. Stroup, and G. D. Williamson. ‘The Application of Multidimensional Scaling Methods to Epidemiological Data’. </w:t>
      </w:r>
      <w:r w:rsidRPr="004B6D2D">
        <w:rPr>
          <w:rFonts w:ascii="Aptos" w:hAnsi="Aptos"/>
          <w:i/>
          <w:iCs/>
          <w:sz w:val="24"/>
        </w:rPr>
        <w:t>Statistical Methods in Medical Research</w:t>
      </w:r>
      <w:r w:rsidRPr="004B6D2D">
        <w:rPr>
          <w:rFonts w:ascii="Aptos" w:hAnsi="Aptos"/>
          <w:sz w:val="24"/>
        </w:rPr>
        <w:t xml:space="preserve"> 4, no. 2 (June 1995): 102–23. https://doi.org/10.1177/096228029500400202.</w:t>
      </w:r>
    </w:p>
    <w:p w14:paraId="124FDEA0" w14:textId="77777777" w:rsidR="004B6D2D" w:rsidRPr="004B6D2D" w:rsidRDefault="004B6D2D" w:rsidP="004B6D2D">
      <w:pPr>
        <w:pStyle w:val="Bibliography"/>
        <w:spacing w:line="480" w:lineRule="auto"/>
        <w:rPr>
          <w:rFonts w:ascii="Aptos" w:hAnsi="Aptos"/>
          <w:sz w:val="24"/>
        </w:rPr>
      </w:pPr>
      <w:r w:rsidRPr="004B6D2D">
        <w:rPr>
          <w:rFonts w:ascii="Aptos" w:hAnsi="Aptos"/>
          <w:sz w:val="24"/>
        </w:rPr>
        <w:t xml:space="preserve">Dzwinel, W., D. A. Yuen, K. Boryczko, Y. Ben-Zion, S. Yoshioka, and T. Ito. ‘Nonlinear Multidimensional Scaling and Visualization of Earthquake Clusters over Space, </w:t>
      </w:r>
      <w:r w:rsidRPr="004B6D2D">
        <w:rPr>
          <w:rFonts w:ascii="Aptos" w:hAnsi="Aptos"/>
          <w:sz w:val="24"/>
        </w:rPr>
        <w:lastRenderedPageBreak/>
        <w:t xml:space="preserve">Time and Feature Space’. </w:t>
      </w:r>
      <w:r w:rsidRPr="004B6D2D">
        <w:rPr>
          <w:rFonts w:ascii="Aptos" w:hAnsi="Aptos"/>
          <w:i/>
          <w:iCs/>
          <w:sz w:val="24"/>
        </w:rPr>
        <w:t>Nonlinear Processes in Geophysics</w:t>
      </w:r>
      <w:r w:rsidRPr="004B6D2D">
        <w:rPr>
          <w:rFonts w:ascii="Aptos" w:hAnsi="Aptos"/>
          <w:sz w:val="24"/>
        </w:rPr>
        <w:t xml:space="preserve"> 12, no. 1 (28 January 2005): 117–28. https://doi.org/10.5194/npg-12-117-2005.</w:t>
      </w:r>
    </w:p>
    <w:p w14:paraId="1D1C612A" w14:textId="77777777" w:rsidR="004B6D2D" w:rsidRPr="004B6D2D" w:rsidRDefault="004B6D2D" w:rsidP="004B6D2D">
      <w:pPr>
        <w:pStyle w:val="Bibliography"/>
        <w:spacing w:line="480" w:lineRule="auto"/>
        <w:rPr>
          <w:rFonts w:ascii="Aptos" w:hAnsi="Aptos"/>
          <w:sz w:val="24"/>
        </w:rPr>
      </w:pPr>
      <w:r w:rsidRPr="004B6D2D">
        <w:rPr>
          <w:rFonts w:ascii="Aptos" w:hAnsi="Aptos"/>
          <w:sz w:val="24"/>
        </w:rPr>
        <w:t xml:space="preserve">Jackson, David D. ‘Hypothesis Testing and Earthquake Prediction’. </w:t>
      </w:r>
      <w:r w:rsidRPr="004B6D2D">
        <w:rPr>
          <w:rFonts w:ascii="Aptos" w:hAnsi="Aptos"/>
          <w:i/>
          <w:iCs/>
          <w:sz w:val="24"/>
        </w:rPr>
        <w:t>Proceedings of the National Academy of Sciences of the United States of America</w:t>
      </w:r>
      <w:r w:rsidRPr="004B6D2D">
        <w:rPr>
          <w:rFonts w:ascii="Aptos" w:hAnsi="Aptos"/>
          <w:sz w:val="24"/>
        </w:rPr>
        <w:t xml:space="preserve"> 93, no. 9 (1996): 3772–75. https://www.jstor.org/stable/39143.</w:t>
      </w:r>
    </w:p>
    <w:p w14:paraId="64C85535" w14:textId="77777777" w:rsidR="004B6D2D" w:rsidRPr="004B6D2D" w:rsidRDefault="004B6D2D" w:rsidP="004B6D2D">
      <w:pPr>
        <w:pStyle w:val="Bibliography"/>
        <w:spacing w:line="480" w:lineRule="auto"/>
        <w:rPr>
          <w:rFonts w:ascii="Aptos" w:hAnsi="Aptos"/>
          <w:sz w:val="24"/>
          <w:lang w:val="es-VE"/>
        </w:rPr>
      </w:pPr>
      <w:r w:rsidRPr="004B6D2D">
        <w:rPr>
          <w:rFonts w:ascii="Aptos" w:hAnsi="Aptos"/>
          <w:sz w:val="24"/>
        </w:rPr>
        <w:t xml:space="preserve">Kruskal, J. B. ‘Multidimensional Scaling by Optimizing Goodness of Fit to a Nonmetric Hypothesis’. </w:t>
      </w:r>
      <w:r w:rsidRPr="004B6D2D">
        <w:rPr>
          <w:rFonts w:ascii="Aptos" w:hAnsi="Aptos"/>
          <w:i/>
          <w:iCs/>
          <w:sz w:val="24"/>
          <w:lang w:val="es-VE"/>
        </w:rPr>
        <w:t>Psychometrika</w:t>
      </w:r>
      <w:r w:rsidRPr="004B6D2D">
        <w:rPr>
          <w:rFonts w:ascii="Aptos" w:hAnsi="Aptos"/>
          <w:sz w:val="24"/>
          <w:lang w:val="es-VE"/>
        </w:rPr>
        <w:t xml:space="preserve"> 29, no. 1 (1 March 1964): 1–27. https://doi.org/10.1007/BF02289565.</w:t>
      </w:r>
    </w:p>
    <w:p w14:paraId="7479C0FF" w14:textId="77777777" w:rsidR="004B6D2D" w:rsidRPr="004B6D2D" w:rsidRDefault="004B6D2D" w:rsidP="004B6D2D">
      <w:pPr>
        <w:pStyle w:val="Bibliography"/>
        <w:spacing w:line="480" w:lineRule="auto"/>
        <w:rPr>
          <w:rFonts w:ascii="Aptos" w:hAnsi="Aptos"/>
          <w:sz w:val="24"/>
        </w:rPr>
      </w:pPr>
      <w:r w:rsidRPr="004B6D2D">
        <w:rPr>
          <w:rFonts w:ascii="Aptos" w:hAnsi="Aptos"/>
          <w:sz w:val="24"/>
          <w:lang w:val="es-VE"/>
        </w:rPr>
        <w:t xml:space="preserve">Lopes, António M., J. A. Tenreiro Machado, C. M. A. Pinto, and A. M. S. F. Galhano. </w:t>
      </w:r>
      <w:r w:rsidRPr="004B6D2D">
        <w:rPr>
          <w:rFonts w:ascii="Aptos" w:hAnsi="Aptos"/>
          <w:sz w:val="24"/>
        </w:rPr>
        <w:t xml:space="preserve">‘Multidimensional Scaling Visualization of Earthquake Phenomena’. </w:t>
      </w:r>
      <w:r w:rsidRPr="004B6D2D">
        <w:rPr>
          <w:rFonts w:ascii="Aptos" w:hAnsi="Aptos"/>
          <w:i/>
          <w:iCs/>
          <w:sz w:val="24"/>
        </w:rPr>
        <w:t>Journal of Seismology</w:t>
      </w:r>
      <w:r w:rsidRPr="004B6D2D">
        <w:rPr>
          <w:rFonts w:ascii="Aptos" w:hAnsi="Aptos"/>
          <w:sz w:val="24"/>
        </w:rPr>
        <w:t xml:space="preserve"> 18, no. 1 (1 January 2014): 163–79. https://doi.org/10.1007/s10950-013-9409-9.</w:t>
      </w:r>
    </w:p>
    <w:p w14:paraId="7DEDE24E" w14:textId="77777777" w:rsidR="004B6D2D" w:rsidRPr="004B6D2D" w:rsidRDefault="004B6D2D" w:rsidP="004B6D2D">
      <w:pPr>
        <w:pStyle w:val="Bibliography"/>
        <w:spacing w:line="480" w:lineRule="auto"/>
        <w:rPr>
          <w:rFonts w:ascii="Aptos" w:hAnsi="Aptos"/>
          <w:sz w:val="24"/>
        </w:rPr>
      </w:pPr>
      <w:r w:rsidRPr="004B6D2D">
        <w:rPr>
          <w:rFonts w:ascii="Aptos" w:hAnsi="Aptos"/>
          <w:sz w:val="24"/>
        </w:rPr>
        <w:t xml:space="preserve">Mousavi, S. Mostafa, and Gregory C. Beroza. ‘A Machine-Learning Approach for Earthquake Magnitude Estimation’. </w:t>
      </w:r>
      <w:r w:rsidRPr="004B6D2D">
        <w:rPr>
          <w:rFonts w:ascii="Aptos" w:hAnsi="Aptos"/>
          <w:i/>
          <w:iCs/>
          <w:sz w:val="24"/>
        </w:rPr>
        <w:t>Geophysical Research Letters</w:t>
      </w:r>
      <w:r w:rsidRPr="004B6D2D">
        <w:rPr>
          <w:rFonts w:ascii="Aptos" w:hAnsi="Aptos"/>
          <w:sz w:val="24"/>
        </w:rPr>
        <w:t xml:space="preserve"> 47, no. 1 (2020): e2019GL085976. https://doi.org/10.1029/2019GL085976.</w:t>
      </w:r>
    </w:p>
    <w:p w14:paraId="2A0FCB4A" w14:textId="77777777" w:rsidR="004B6D2D" w:rsidRPr="004B6D2D" w:rsidRDefault="004B6D2D" w:rsidP="004B6D2D">
      <w:pPr>
        <w:pStyle w:val="Bibliography"/>
        <w:spacing w:line="480" w:lineRule="auto"/>
        <w:rPr>
          <w:rFonts w:ascii="Aptos" w:hAnsi="Aptos"/>
          <w:sz w:val="24"/>
        </w:rPr>
      </w:pPr>
      <w:r w:rsidRPr="004B6D2D">
        <w:rPr>
          <w:rFonts w:ascii="Aptos" w:hAnsi="Aptos"/>
          <w:sz w:val="24"/>
        </w:rPr>
        <w:t>National Research Institute for Earth Science and Disaster Resilience. ‘NIED Hi-Net β Ver. [High Sensitivity Seismograph Network Japan]’. Accessed 4 September 2024. https://www.hinet.bosai.go.jp/.</w:t>
      </w:r>
    </w:p>
    <w:p w14:paraId="3AF6A096" w14:textId="77777777" w:rsidR="004B6D2D" w:rsidRPr="004B6D2D" w:rsidRDefault="004B6D2D" w:rsidP="004B6D2D">
      <w:pPr>
        <w:pStyle w:val="Bibliography"/>
        <w:spacing w:line="480" w:lineRule="auto"/>
        <w:rPr>
          <w:rFonts w:ascii="Aptos" w:hAnsi="Aptos"/>
          <w:sz w:val="24"/>
          <w:lang w:val="es-VE"/>
        </w:rPr>
      </w:pPr>
      <w:r w:rsidRPr="004B6D2D">
        <w:rPr>
          <w:rFonts w:ascii="Aptos" w:hAnsi="Aptos"/>
          <w:sz w:val="24"/>
        </w:rPr>
        <w:t xml:space="preserve">Normile, Dennis. ‘Japan Holds Firm to Shaky Science’. </w:t>
      </w:r>
      <w:r w:rsidRPr="004B6D2D">
        <w:rPr>
          <w:rFonts w:ascii="Aptos" w:hAnsi="Aptos"/>
          <w:i/>
          <w:iCs/>
          <w:sz w:val="24"/>
          <w:lang w:val="es-VE"/>
        </w:rPr>
        <w:t>Science</w:t>
      </w:r>
      <w:r w:rsidRPr="004B6D2D">
        <w:rPr>
          <w:rFonts w:ascii="Aptos" w:hAnsi="Aptos"/>
          <w:sz w:val="24"/>
          <w:lang w:val="es-VE"/>
        </w:rPr>
        <w:t xml:space="preserve"> 264, no. 5166 (1994): 1656–58. https://www.jstor.org/stable/2883897.</w:t>
      </w:r>
    </w:p>
    <w:p w14:paraId="227B7801" w14:textId="77777777" w:rsidR="004B6D2D" w:rsidRPr="004B6D2D" w:rsidRDefault="004B6D2D" w:rsidP="004B6D2D">
      <w:pPr>
        <w:pStyle w:val="Bibliography"/>
        <w:spacing w:line="480" w:lineRule="auto"/>
        <w:rPr>
          <w:rFonts w:ascii="Aptos" w:hAnsi="Aptos"/>
          <w:sz w:val="24"/>
        </w:rPr>
      </w:pPr>
      <w:r w:rsidRPr="004B6D2D">
        <w:rPr>
          <w:rFonts w:ascii="Aptos" w:hAnsi="Aptos"/>
          <w:sz w:val="24"/>
          <w:lang w:val="es-VE"/>
        </w:rPr>
        <w:t xml:space="preserve">Ogata, Yosihiko. </w:t>
      </w:r>
      <w:r w:rsidRPr="004B6D2D">
        <w:rPr>
          <w:rFonts w:ascii="Aptos" w:hAnsi="Aptos"/>
          <w:sz w:val="24"/>
        </w:rPr>
        <w:t xml:space="preserve">‘A Prospect of Earthquake Prediction Research’. </w:t>
      </w:r>
      <w:r w:rsidRPr="004B6D2D">
        <w:rPr>
          <w:rFonts w:ascii="Aptos" w:hAnsi="Aptos"/>
          <w:i/>
          <w:iCs/>
          <w:sz w:val="24"/>
        </w:rPr>
        <w:t>Statistical Science</w:t>
      </w:r>
      <w:r w:rsidRPr="004B6D2D">
        <w:rPr>
          <w:rFonts w:ascii="Aptos" w:hAnsi="Aptos"/>
          <w:sz w:val="24"/>
        </w:rPr>
        <w:t xml:space="preserve"> 28, no. 4 (2013): 521–41. https://www.jstor.org/stable/43288434.</w:t>
      </w:r>
    </w:p>
    <w:p w14:paraId="75B78C36" w14:textId="77777777" w:rsidR="004B6D2D" w:rsidRPr="004B6D2D" w:rsidRDefault="004B6D2D" w:rsidP="004B6D2D">
      <w:pPr>
        <w:pStyle w:val="Bibliography"/>
        <w:spacing w:line="480" w:lineRule="auto"/>
        <w:rPr>
          <w:rFonts w:ascii="Aptos" w:hAnsi="Aptos"/>
          <w:sz w:val="24"/>
        </w:rPr>
      </w:pPr>
      <w:r w:rsidRPr="004B6D2D">
        <w:rPr>
          <w:rFonts w:ascii="Aptos" w:hAnsi="Aptos"/>
          <w:sz w:val="24"/>
        </w:rPr>
        <w:t xml:space="preserve">Press, Frank. ‘Earthquake Prediction’. </w:t>
      </w:r>
      <w:r w:rsidRPr="004B6D2D">
        <w:rPr>
          <w:rFonts w:ascii="Aptos" w:hAnsi="Aptos"/>
          <w:i/>
          <w:iCs/>
          <w:sz w:val="24"/>
        </w:rPr>
        <w:t>Scientific American</w:t>
      </w:r>
      <w:r w:rsidRPr="004B6D2D">
        <w:rPr>
          <w:rFonts w:ascii="Aptos" w:hAnsi="Aptos"/>
          <w:sz w:val="24"/>
        </w:rPr>
        <w:t xml:space="preserve"> 232, no. 5 (1975): 14–23. https://www.jstor.org/stable/24949794.</w:t>
      </w:r>
    </w:p>
    <w:p w14:paraId="1D8AE942" w14:textId="77777777" w:rsidR="004B6D2D" w:rsidRPr="004B6D2D" w:rsidRDefault="004B6D2D" w:rsidP="004B6D2D">
      <w:pPr>
        <w:pStyle w:val="Bibliography"/>
        <w:spacing w:line="480" w:lineRule="auto"/>
        <w:rPr>
          <w:rFonts w:ascii="Aptos" w:hAnsi="Aptos"/>
          <w:sz w:val="24"/>
        </w:rPr>
      </w:pPr>
      <w:r w:rsidRPr="004B6D2D">
        <w:rPr>
          <w:rFonts w:ascii="Aptos" w:hAnsi="Aptos"/>
          <w:sz w:val="24"/>
        </w:rPr>
        <w:lastRenderedPageBreak/>
        <w:t xml:space="preserve">Rabinowitz, George B. ‘An Introduction to Nonmetric Multidimensional Scaling’. </w:t>
      </w:r>
      <w:r w:rsidRPr="004B6D2D">
        <w:rPr>
          <w:rFonts w:ascii="Aptos" w:hAnsi="Aptos"/>
          <w:i/>
          <w:iCs/>
          <w:sz w:val="24"/>
        </w:rPr>
        <w:t>American Journal of Political Science</w:t>
      </w:r>
      <w:r w:rsidRPr="004B6D2D">
        <w:rPr>
          <w:rFonts w:ascii="Aptos" w:hAnsi="Aptos"/>
          <w:sz w:val="24"/>
        </w:rPr>
        <w:t xml:space="preserve"> 19, no. 2 (1975): 343–90. https://doi.org/10.2307/2110441.</w:t>
      </w:r>
    </w:p>
    <w:p w14:paraId="75234358" w14:textId="77777777" w:rsidR="004B6D2D" w:rsidRPr="004B6D2D" w:rsidRDefault="004B6D2D" w:rsidP="004B6D2D">
      <w:pPr>
        <w:pStyle w:val="Bibliography"/>
        <w:spacing w:line="480" w:lineRule="auto"/>
        <w:rPr>
          <w:rFonts w:ascii="Aptos" w:hAnsi="Aptos"/>
          <w:sz w:val="24"/>
        </w:rPr>
      </w:pPr>
      <w:r w:rsidRPr="004B6D2D">
        <w:rPr>
          <w:rFonts w:ascii="Aptos" w:hAnsi="Aptos"/>
          <w:sz w:val="24"/>
        </w:rPr>
        <w:t xml:space="preserve">Ridzwan, Nurafiqah Syahirah Md, and Siti Harwani Md. Yusoff. ‘Machine Learning for Earthquake Prediction: A Review (2017–2021)’. </w:t>
      </w:r>
      <w:r w:rsidRPr="004B6D2D">
        <w:rPr>
          <w:rFonts w:ascii="Aptos" w:hAnsi="Aptos"/>
          <w:i/>
          <w:iCs/>
          <w:sz w:val="24"/>
        </w:rPr>
        <w:t>Earth Science Informatics</w:t>
      </w:r>
      <w:r w:rsidRPr="004B6D2D">
        <w:rPr>
          <w:rFonts w:ascii="Aptos" w:hAnsi="Aptos"/>
          <w:sz w:val="24"/>
        </w:rPr>
        <w:t xml:space="preserve"> 16, no. 2 (1 June 2023): 1133–49. https://doi.org/10.1007/s12145-023-00991-z.</w:t>
      </w:r>
    </w:p>
    <w:p w14:paraId="64DB73EA" w14:textId="77777777" w:rsidR="004B6D2D" w:rsidRPr="004B6D2D" w:rsidRDefault="004B6D2D" w:rsidP="004B6D2D">
      <w:pPr>
        <w:pStyle w:val="Bibliography"/>
        <w:spacing w:line="480" w:lineRule="auto"/>
        <w:rPr>
          <w:rFonts w:ascii="Aptos" w:hAnsi="Aptos"/>
          <w:sz w:val="24"/>
        </w:rPr>
      </w:pPr>
      <w:r w:rsidRPr="004B6D2D">
        <w:rPr>
          <w:rFonts w:ascii="Aptos" w:hAnsi="Aptos"/>
          <w:sz w:val="24"/>
        </w:rPr>
        <w:t xml:space="preserve">Samardjieva, Elena, and José Badal. ‘Estimation of the Expected Number of Casualties Caused by Strong Earthquakes’. </w:t>
      </w:r>
      <w:r w:rsidRPr="004B6D2D">
        <w:rPr>
          <w:rFonts w:ascii="Aptos" w:hAnsi="Aptos"/>
          <w:i/>
          <w:iCs/>
          <w:sz w:val="24"/>
        </w:rPr>
        <w:t>Bulletin of the Seismological Society of America</w:t>
      </w:r>
      <w:r w:rsidRPr="004B6D2D">
        <w:rPr>
          <w:rFonts w:ascii="Aptos" w:hAnsi="Aptos"/>
          <w:sz w:val="24"/>
        </w:rPr>
        <w:t xml:space="preserve"> 92, no. 6 (1 August 2002): 2310–22. https://doi.org/10.1785/0120010112.</w:t>
      </w:r>
    </w:p>
    <w:p w14:paraId="51FAB60B" w14:textId="77777777" w:rsidR="004B6D2D" w:rsidRPr="004B6D2D" w:rsidRDefault="004B6D2D" w:rsidP="004B6D2D">
      <w:pPr>
        <w:pStyle w:val="Bibliography"/>
        <w:spacing w:line="480" w:lineRule="auto"/>
        <w:rPr>
          <w:rFonts w:ascii="Aptos" w:hAnsi="Aptos"/>
          <w:sz w:val="24"/>
        </w:rPr>
      </w:pPr>
      <w:r w:rsidRPr="004B6D2D">
        <w:rPr>
          <w:rFonts w:ascii="Aptos" w:hAnsi="Aptos"/>
          <w:sz w:val="24"/>
        </w:rPr>
        <w:t xml:space="preserve">Seth Stein and Michael Wyesession. </w:t>
      </w:r>
      <w:r w:rsidRPr="004B6D2D">
        <w:rPr>
          <w:rFonts w:ascii="Aptos" w:hAnsi="Aptos"/>
          <w:i/>
          <w:iCs/>
          <w:sz w:val="24"/>
        </w:rPr>
        <w:t>An Introduction to Seismology, Earthquakes, and Earth Structure</w:t>
      </w:r>
      <w:r w:rsidRPr="004B6D2D">
        <w:rPr>
          <w:rFonts w:ascii="Aptos" w:hAnsi="Aptos"/>
          <w:sz w:val="24"/>
        </w:rPr>
        <w:t>. Blackwell Publishing Ltd., 2003.</w:t>
      </w:r>
    </w:p>
    <w:p w14:paraId="1A269C44" w14:textId="77777777" w:rsidR="004B6D2D" w:rsidRPr="004B6D2D" w:rsidRDefault="004B6D2D" w:rsidP="004B6D2D">
      <w:pPr>
        <w:pStyle w:val="Bibliography"/>
        <w:spacing w:line="480" w:lineRule="auto"/>
        <w:rPr>
          <w:rFonts w:ascii="Aptos" w:hAnsi="Aptos"/>
          <w:sz w:val="24"/>
        </w:rPr>
      </w:pPr>
      <w:r w:rsidRPr="004B6D2D">
        <w:rPr>
          <w:rFonts w:ascii="Aptos" w:hAnsi="Aptos"/>
          <w:sz w:val="24"/>
        </w:rPr>
        <w:t xml:space="preserve">Tsapanos, Theodoros M., and Paul W. Burton. ‘Seismic Hazard Evaluation for Specific Seismic Regions of the World’. </w:t>
      </w:r>
      <w:r w:rsidRPr="004B6D2D">
        <w:rPr>
          <w:rFonts w:ascii="Aptos" w:hAnsi="Aptos"/>
          <w:i/>
          <w:iCs/>
          <w:sz w:val="24"/>
        </w:rPr>
        <w:t>Tectonophysics</w:t>
      </w:r>
      <w:r w:rsidRPr="004B6D2D">
        <w:rPr>
          <w:rFonts w:ascii="Aptos" w:hAnsi="Aptos"/>
          <w:sz w:val="24"/>
        </w:rPr>
        <w:t xml:space="preserve"> 194, no. 1 (20 July 1991): 153–69. https://doi.org/10.1016/0040-1951(91)90278-Z.</w:t>
      </w:r>
    </w:p>
    <w:p w14:paraId="56458F21" w14:textId="77777777" w:rsidR="004B6D2D" w:rsidRPr="004B6D2D" w:rsidRDefault="004B6D2D" w:rsidP="004B6D2D">
      <w:pPr>
        <w:pStyle w:val="Bibliography"/>
        <w:spacing w:line="480" w:lineRule="auto"/>
        <w:rPr>
          <w:rFonts w:ascii="Aptos" w:hAnsi="Aptos"/>
          <w:sz w:val="24"/>
        </w:rPr>
      </w:pPr>
      <w:r w:rsidRPr="004B6D2D">
        <w:rPr>
          <w:rFonts w:ascii="Aptos" w:hAnsi="Aptos"/>
          <w:sz w:val="24"/>
        </w:rPr>
        <w:t>World Health Organization. ‘Earthquakes’, n.d. https://www.who.int/health-topics/earthquakes.</w:t>
      </w:r>
    </w:p>
    <w:p w14:paraId="62798586" w14:textId="2DEA99A9" w:rsidR="004B6D2D" w:rsidRPr="004B6D2D" w:rsidRDefault="004B6D2D" w:rsidP="004B6D2D">
      <w:pPr>
        <w:spacing w:line="480" w:lineRule="auto"/>
        <w:jc w:val="both"/>
        <w:rPr>
          <w:rFonts w:eastAsiaTheme="minorEastAsia"/>
          <w:sz w:val="24"/>
          <w:szCs w:val="24"/>
        </w:rPr>
      </w:pPr>
      <w:r>
        <w:rPr>
          <w:rFonts w:eastAsiaTheme="minorEastAsia"/>
          <w:sz w:val="24"/>
          <w:szCs w:val="24"/>
        </w:rPr>
        <w:fldChar w:fldCharType="end"/>
      </w:r>
    </w:p>
    <w:p w14:paraId="18D984D8" w14:textId="77777777" w:rsidR="00B61660" w:rsidRPr="00B53D46" w:rsidRDefault="00B61660" w:rsidP="00B53D46">
      <w:pPr>
        <w:spacing w:line="480" w:lineRule="auto"/>
        <w:jc w:val="both"/>
        <w:rPr>
          <w:sz w:val="24"/>
          <w:szCs w:val="24"/>
        </w:rPr>
      </w:pPr>
    </w:p>
    <w:sectPr w:rsidR="00B61660" w:rsidRPr="00B53D46">
      <w:headerReference w:type="default" r:id="rId41"/>
      <w:footerReference w:type="default" r:id="rId4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A76B9D" w14:textId="77777777" w:rsidR="006179D0" w:rsidRDefault="006179D0" w:rsidP="00BE66AC">
      <w:pPr>
        <w:spacing w:after="0" w:line="240" w:lineRule="auto"/>
      </w:pPr>
      <w:r>
        <w:separator/>
      </w:r>
    </w:p>
  </w:endnote>
  <w:endnote w:type="continuationSeparator" w:id="0">
    <w:p w14:paraId="345377D2" w14:textId="77777777" w:rsidR="006179D0" w:rsidRDefault="006179D0" w:rsidP="00BE6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SemiLight Condensed">
    <w:panose1 w:val="020B0502040204020203"/>
    <w:charset w:val="EE"/>
    <w:family w:val="swiss"/>
    <w:pitch w:val="variable"/>
    <w:sig w:usb0="A00002C7" w:usb1="00000002" w:usb2="00000000" w:usb3="00000000" w:csb0="0000019F" w:csb1="00000000"/>
  </w:font>
  <w:font w:name="Aharoni">
    <w:charset w:val="B1"/>
    <w:family w:val="auto"/>
    <w:pitch w:val="variable"/>
    <w:sig w:usb0="00000803" w:usb1="00000000" w:usb2="00000000" w:usb3="00000000" w:csb0="00000021" w:csb1="00000000"/>
  </w:font>
  <w:font w:name="Cambria Math">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4468959"/>
      <w:docPartObj>
        <w:docPartGallery w:val="Page Numbers (Bottom of Page)"/>
        <w:docPartUnique/>
      </w:docPartObj>
    </w:sdtPr>
    <w:sdtEndPr>
      <w:rPr>
        <w:noProof/>
      </w:rPr>
    </w:sdtEndPr>
    <w:sdtContent>
      <w:p w14:paraId="150015F3" w14:textId="7E03423B" w:rsidR="00BE66AC" w:rsidRDefault="00BE66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94DA70" w14:textId="77777777" w:rsidR="00BE66AC" w:rsidRDefault="00BE66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39993C" w14:textId="77777777" w:rsidR="006179D0" w:rsidRDefault="006179D0" w:rsidP="00BE66AC">
      <w:pPr>
        <w:spacing w:after="0" w:line="240" w:lineRule="auto"/>
      </w:pPr>
      <w:r>
        <w:separator/>
      </w:r>
    </w:p>
  </w:footnote>
  <w:footnote w:type="continuationSeparator" w:id="0">
    <w:p w14:paraId="4DABFA42" w14:textId="77777777" w:rsidR="006179D0" w:rsidRDefault="006179D0" w:rsidP="00BE66AC">
      <w:pPr>
        <w:spacing w:after="0" w:line="240" w:lineRule="auto"/>
      </w:pPr>
      <w:r>
        <w:continuationSeparator/>
      </w:r>
    </w:p>
  </w:footnote>
  <w:footnote w:id="1">
    <w:p w14:paraId="397483C3" w14:textId="0FE85425" w:rsidR="006E6CB9" w:rsidRPr="006E6CB9" w:rsidRDefault="006E6CB9">
      <w:pPr>
        <w:pStyle w:val="FootnoteText"/>
        <w:rPr>
          <w:lang w:val="hu-HU"/>
        </w:rPr>
      </w:pPr>
      <w:r>
        <w:rPr>
          <w:rStyle w:val="FootnoteReference"/>
        </w:rPr>
        <w:footnoteRef/>
      </w:r>
      <w:r>
        <w:t xml:space="preserve"> </w:t>
      </w:r>
      <w:r>
        <w:fldChar w:fldCharType="begin"/>
      </w:r>
      <w:r>
        <w:instrText xml:space="preserve"> ADDIN ZOTERO_ITEM CSL_CITATION {"citationID":"V6lUTgth","properties":{"formattedCitation":"World Health Organization, \\uc0\\u8216{}Earthquakes\\uc0\\u8217{}, n.d., https://www.who.int/health-topics/earthquakes.","plainCitation":"World Health Organization, ‘Earthquakes’, n.d., https://www.who.int/health-topics/earthquakes.","noteIndex":1},"citationItems":[{"id":1414,"uris":["http://zotero.org/users/6994247/items/WJRJ3LDQ"],"itemData":{"id":1414,"type":"dataset","abstract":"Earthquakes","language":"en","title":"Earthquakes","URL":"https://www.who.int/health-topics/earthquakes","author":[{"literal":"World Health Organization"}]}}],"schema":"https://github.com/citation-style-language/schema/raw/master/csl-citation.json"} </w:instrText>
      </w:r>
      <w:r>
        <w:fldChar w:fldCharType="separate"/>
      </w:r>
      <w:r w:rsidRPr="006E6CB9">
        <w:rPr>
          <w:rFonts w:ascii="Aptos" w:hAnsi="Aptos" w:cs="Times New Roman"/>
          <w:kern w:val="0"/>
        </w:rPr>
        <w:t>World Health Organization, ‘Earthquakes’, n.d., https://www.who.int/health-topics/earthquakes.</w:t>
      </w:r>
      <w:r>
        <w:fldChar w:fldCharType="end"/>
      </w:r>
    </w:p>
  </w:footnote>
  <w:footnote w:id="2">
    <w:p w14:paraId="5D5C3CD5" w14:textId="34B4CDA9" w:rsidR="006E6CB9" w:rsidRPr="006E6CB9" w:rsidRDefault="006E6CB9">
      <w:pPr>
        <w:pStyle w:val="FootnoteText"/>
        <w:rPr>
          <w:lang w:val="hu-HU"/>
        </w:rPr>
      </w:pPr>
      <w:r>
        <w:rPr>
          <w:rStyle w:val="FootnoteReference"/>
        </w:rPr>
        <w:footnoteRef/>
      </w:r>
      <w:r>
        <w:t xml:space="preserve"> </w:t>
      </w:r>
      <w:r>
        <w:fldChar w:fldCharType="begin"/>
      </w:r>
      <w:r>
        <w:instrText xml:space="preserve"> ADDIN ZOTERO_ITEM CSL_CITATION {"citationID":"qZ1WZI6b","properties":{"formattedCitation":"Centre for Research on the Epidemiology of Disasters (CRED), \\uc0\\u8216{}Death Toll in Great Earthquakes 1900-2023\\uc0\\u8217{}, n.d., https://www.statista.com/statistics/266325/death-toll-in-great-earthquakes/.","plainCitation":"Centre for Research on the Epidemiology of Disasters (CRED), ‘Death Toll in Great Earthquakes 1900-2023’, n.d., https://www.statista.com/statistics/266325/death-toll-in-great-earthquakes/.","noteIndex":2},"citationItems":[{"id":1412,"uris":["http://zotero.org/users/6994247/items/M3RRSQBY"],"itemData":{"id":1412,"type":"dataset","abstract":"Since 1900, the earthquake in Tangshan in China in 1976 caused the highest number of deaths, reaching over 240,000.","language":"en","title":"Death toll in great earthquakes 1900-2023","URL":"https://www.statista.com/statistics/266325/death-toll-in-great-earthquakes/","author":[{"literal":"Centre for Research on the Epidemiology of Disasters (CRED)"}]}}],"schema":"https://github.com/citation-style-language/schema/raw/master/csl-citation.json"} </w:instrText>
      </w:r>
      <w:r>
        <w:fldChar w:fldCharType="separate"/>
      </w:r>
      <w:r w:rsidRPr="006E6CB9">
        <w:rPr>
          <w:rFonts w:ascii="Aptos" w:hAnsi="Aptos" w:cs="Times New Roman"/>
          <w:kern w:val="0"/>
        </w:rPr>
        <w:t>Centre for Research on the Epidemiology of Disasters (CRED), ‘Death Toll in Great Earthquakes 1900-2023’, n.d., https://www.statista.com/statistics/266325/death-toll-in-great-earthquakes/.</w:t>
      </w:r>
      <w:r>
        <w:fldChar w:fldCharType="end"/>
      </w:r>
    </w:p>
  </w:footnote>
  <w:footnote w:id="3">
    <w:p w14:paraId="4EBAFEE3" w14:textId="712BE30A" w:rsidR="00D0437D" w:rsidRPr="00D0437D" w:rsidRDefault="00D0437D">
      <w:pPr>
        <w:pStyle w:val="FootnoteText"/>
        <w:rPr>
          <w:lang w:val="hu-HU"/>
        </w:rPr>
      </w:pPr>
      <w:r>
        <w:rPr>
          <w:rStyle w:val="FootnoteReference"/>
        </w:rPr>
        <w:footnoteRef/>
      </w:r>
      <w:r>
        <w:t xml:space="preserve"> </w:t>
      </w:r>
      <w:r>
        <w:fldChar w:fldCharType="begin"/>
      </w:r>
      <w:r>
        <w:instrText xml:space="preserve"> ADDIN ZOTERO_ITEM CSL_CITATION {"citationID":"xIJScxhP","properties":{"formattedCitation":"Frank Press, \\uc0\\u8216{}Earthquake Prediction\\uc0\\u8217{}, {\\i{}Scientific American} 232, no. 5 (1975): 14, https://www.jstor.org/stable/24949794.","plainCitation":"Frank Press, ‘Earthquake Prediction’, Scientific American 232, no. 5 (1975): 14, https://www.jstor.org/stable/24949794.","noteIndex":3},"citationItems":[{"id":1423,"uris":["http://zotero.org/users/6994247/items/8Q7BBZGC"],"itemData":{"id":1423,"type":"article-journal","container-title":"Scientific American","ISSN":"0036-8733","issue":"5","note":"publisher: Scientific American, a division of Nature America, Inc.","page":"14-23","source":"JSTOR","title":"Earthquake Prediction","URL":"https://www.jstor.org/stable/24949794","volume":"232","author":[{"family":"Press","given":"Frank"}],"accessed":{"date-parts":[["2024",9,3]]},"issued":{"date-parts":[["1975"]]}},"locator":"14","label":"page"}],"schema":"https://github.com/citation-style-language/schema/raw/master/csl-citation.json"} </w:instrText>
      </w:r>
      <w:r>
        <w:fldChar w:fldCharType="separate"/>
      </w:r>
      <w:r w:rsidRPr="00D0437D">
        <w:rPr>
          <w:rFonts w:ascii="Aptos" w:hAnsi="Aptos" w:cs="Times New Roman"/>
          <w:kern w:val="0"/>
        </w:rPr>
        <w:t xml:space="preserve">Frank Press, ‘Earthquake Prediction’, </w:t>
      </w:r>
      <w:r w:rsidRPr="00D0437D">
        <w:rPr>
          <w:rFonts w:ascii="Aptos" w:hAnsi="Aptos" w:cs="Times New Roman"/>
          <w:i/>
          <w:iCs/>
          <w:kern w:val="0"/>
        </w:rPr>
        <w:t>Scientific American</w:t>
      </w:r>
      <w:r w:rsidRPr="00D0437D">
        <w:rPr>
          <w:rFonts w:ascii="Aptos" w:hAnsi="Aptos" w:cs="Times New Roman"/>
          <w:kern w:val="0"/>
        </w:rPr>
        <w:t xml:space="preserve"> 232, no. 5 (1975): 14, https://www.jstor.org/stable/24949794.</w:t>
      </w:r>
      <w:r>
        <w:fldChar w:fldCharType="end"/>
      </w:r>
    </w:p>
  </w:footnote>
  <w:footnote w:id="4">
    <w:p w14:paraId="5A914D13" w14:textId="7CDAAED3" w:rsidR="00E70F66" w:rsidRPr="00E70F66" w:rsidRDefault="00E70F66">
      <w:pPr>
        <w:pStyle w:val="FootnoteText"/>
        <w:rPr>
          <w:lang w:val="hu-HU"/>
        </w:rPr>
      </w:pPr>
      <w:r>
        <w:rPr>
          <w:rStyle w:val="FootnoteReference"/>
        </w:rPr>
        <w:footnoteRef/>
      </w:r>
      <w:r>
        <w:t xml:space="preserve"> </w:t>
      </w:r>
      <w:r>
        <w:fldChar w:fldCharType="begin"/>
      </w:r>
      <w:r>
        <w:instrText xml:space="preserve"> ADDIN ZOTERO_ITEM CSL_CITATION {"citationID":"RX9YuD2L","properties":{"formattedCitation":"Seth Stein and Michael Wyesession, {\\i{}An Introduction to Seismology, Earthquakes, and Earth Structure} (Blackwell Publishing Ltd., 2003), 24\\uc0\\u8211{}26.","plainCitation":"Seth Stein and Michael Wyesession, An Introduction to Seismology, Earthquakes, and Earth Structure (Blackwell Publishing Ltd., 2003), 24–26.","noteIndex":4},"citationItems":[{"id":1430,"uris":["http://zotero.org/users/6994247/items/YAJR9YJZ"],"itemData":{"id":1430,"type":"book","publisher":"Blackwell Publishing Ltd.","title":"An Introduction to Seismology, Earthquakes, and Earth Structure","author":[{"literal":"Seth Stein"},{"literal":"Michael Wyesession"}],"issued":{"date-parts":[["2003"]]}},"locator":"24-26","label":"page"}],"schema":"https://github.com/citation-style-language/schema/raw/master/csl-citation.json"} </w:instrText>
      </w:r>
      <w:r>
        <w:fldChar w:fldCharType="separate"/>
      </w:r>
      <w:r w:rsidRPr="00E70F66">
        <w:rPr>
          <w:rFonts w:ascii="Aptos" w:hAnsi="Aptos" w:cs="Times New Roman"/>
          <w:kern w:val="0"/>
        </w:rPr>
        <w:t xml:space="preserve">Seth Stein and Michael Wyesession, </w:t>
      </w:r>
      <w:r w:rsidRPr="00E70F66">
        <w:rPr>
          <w:rFonts w:ascii="Aptos" w:hAnsi="Aptos" w:cs="Times New Roman"/>
          <w:i/>
          <w:iCs/>
          <w:kern w:val="0"/>
        </w:rPr>
        <w:t>An Introduction to Seismology, Earthquakes, and Earth Structure</w:t>
      </w:r>
      <w:r w:rsidRPr="00E70F66">
        <w:rPr>
          <w:rFonts w:ascii="Aptos" w:hAnsi="Aptos" w:cs="Times New Roman"/>
          <w:kern w:val="0"/>
        </w:rPr>
        <w:t xml:space="preserve"> (Blackwell Publishing Ltd., 2003), 24–26.</w:t>
      </w:r>
      <w:r>
        <w:fldChar w:fldCharType="end"/>
      </w:r>
    </w:p>
  </w:footnote>
  <w:footnote w:id="5">
    <w:p w14:paraId="036C6069" w14:textId="44DE1F54" w:rsidR="00CB28ED" w:rsidRPr="00CB28ED" w:rsidRDefault="00CB28ED">
      <w:pPr>
        <w:pStyle w:val="FootnoteText"/>
        <w:rPr>
          <w:lang w:val="hu-HU"/>
        </w:rPr>
      </w:pPr>
      <w:r>
        <w:rPr>
          <w:rStyle w:val="FootnoteReference"/>
        </w:rPr>
        <w:footnoteRef/>
      </w:r>
      <w:r>
        <w:t xml:space="preserve"> </w:t>
      </w:r>
      <w:r>
        <w:fldChar w:fldCharType="begin"/>
      </w:r>
      <w:r>
        <w:instrText xml:space="preserve"> ADDIN ZOTERO_ITEM CSL_CITATION {"citationID":"BlrcCUDX","properties":{"formattedCitation":"David D. Jackson, \\uc0\\u8216{}Hypothesis Testing and Earthquake Prediction\\uc0\\u8217{}, {\\i{}Proceedings of the National Academy of Sciences of the United States of America} 93, no. 9 (1996): 3775, https://www.jstor.org/stable/39143.","plainCitation":"David D. Jackson, ‘Hypothesis Testing and Earthquake Prediction’, Proceedings of the National Academy of Sciences of the United States of America 93, no. 9 (1996): 3775, https://www.jstor.org/stable/39143.","noteIndex":5},"citationItems":[{"id":1434,"uris":["http://zotero.org/users/6994247/items/4RZBVU99"],"itemData":{"id":1434,"type":"article-journal","abstract":"Requirements for testing include advance specification of the conditional rate density (probability per unit time, area, and magnitude) or, alternatively, probabilities for specified intervals of time, space, and magnitude. Here I consider testing fully specified hypotheses, with no parameter adjustments or arbitrary decisions allowed during the test period. Because it may take decades to validate prediction methods, it is worthwhile to formulate testable hypotheses carefully in advance. Earthquake prediction generally implies that the probability will be temporarily higher than normal. Such a statement requires knowledge of ``normal behavior''--that is, it requires a null hypothesis. Hypotheses can be tested in three ways: (i) by comparing the number of actual earth-quakes to the number predicted, (ii) by comparing the likelihood score of actual earthquakes to the predicted distribution, and (iii) by comparing the likelihood ratio to that of a null hypothesis. The first two tests are purely self-consistency tests, while the third is a direct comparison of two hypotheses. Predictions made without a statement of probability are very difficult to test, and any test must be based on the ratio of earthquakes in and out of the forecast regions.","container-title":"Proceedings of the National Academy of Sciences of the United States of America","ISSN":"0027-8424","issue":"9","note":"publisher: National Academy of Sciences","page":"3772-3775","source":"JSTOR","title":"Hypothesis Testing and Earthquake Prediction","URL":"https://www.jstor.org/stable/39143","volume":"93","author":[{"family":"Jackson","given":"David D."}],"accessed":{"date-parts":[["2024",9,4]]},"issued":{"date-parts":[["1996"]]}},"locator":"3775","label":"page"}],"schema":"https://github.com/citation-style-language/schema/raw/master/csl-citation.json"} </w:instrText>
      </w:r>
      <w:r>
        <w:fldChar w:fldCharType="separate"/>
      </w:r>
      <w:r w:rsidRPr="00CB28ED">
        <w:rPr>
          <w:rFonts w:ascii="Aptos" w:hAnsi="Aptos" w:cs="Times New Roman"/>
          <w:kern w:val="0"/>
        </w:rPr>
        <w:t xml:space="preserve">David D. Jackson, ‘Hypothesis Testing and Earthquake Prediction’, </w:t>
      </w:r>
      <w:r w:rsidRPr="00CB28ED">
        <w:rPr>
          <w:rFonts w:ascii="Aptos" w:hAnsi="Aptos" w:cs="Times New Roman"/>
          <w:i/>
          <w:iCs/>
          <w:kern w:val="0"/>
        </w:rPr>
        <w:t>Proceedings of the National Academy of Sciences of the United States of America</w:t>
      </w:r>
      <w:r w:rsidRPr="00CB28ED">
        <w:rPr>
          <w:rFonts w:ascii="Aptos" w:hAnsi="Aptos" w:cs="Times New Roman"/>
          <w:kern w:val="0"/>
        </w:rPr>
        <w:t xml:space="preserve"> 93, no. 9 (1996): 3775, https://www.jstor.org/stable/39143.</w:t>
      </w:r>
      <w:r>
        <w:fldChar w:fldCharType="end"/>
      </w:r>
    </w:p>
  </w:footnote>
  <w:footnote w:id="6">
    <w:p w14:paraId="18839C85" w14:textId="39A9F640" w:rsidR="002528FF" w:rsidRPr="002528FF" w:rsidRDefault="002528FF">
      <w:pPr>
        <w:pStyle w:val="FootnoteText"/>
        <w:rPr>
          <w:lang w:val="hu-HU"/>
        </w:rPr>
      </w:pPr>
      <w:r>
        <w:rPr>
          <w:rStyle w:val="FootnoteReference"/>
        </w:rPr>
        <w:footnoteRef/>
      </w:r>
      <w:r>
        <w:t xml:space="preserve"> </w:t>
      </w:r>
      <w:r>
        <w:fldChar w:fldCharType="begin"/>
      </w:r>
      <w:r w:rsidR="00CB28ED">
        <w:instrText xml:space="preserve"> ADDIN ZOTERO_ITEM CSL_CITATION {"citationID":"rH3My9hL","properties":{"formattedCitation":"Yosihiko Ogata, \\uc0\\u8216{}A Prospect of Earthquake Prediction Research\\uc0\\u8217{}, {\\i{}Statistical Science} 28, no. 4 (2013): 521, https://www.jstor.org/stable/43288434.","plainCitation":"Yosihiko Ogata, ‘A Prospect of Earthquake Prediction Research’, Statistical Science 28, no. 4 (2013): 521, https://www.jstor.org/stable/43288434.","noteIndex":6},"citationItems":[{"id":1399,"uris":["http://zotero.org/users/6994247/items/R3F3LPSP"],"itemData":{"id":1399,"type":"article-journal","abstract":"Earthquakes occur because of abrupt slips on faults due to accumulated stress in the Earth's crust. Because most of these faults and their mechanisms are not readily apparent, deterministic earthquake prediction is difficult. For effective prediction, complex conditions and uncertain elements must be considered, which necessitates stochastic prediction. In particular, a large amount of uncertainty lies in identifying whether abnormal phenomena are precursors to large earthquakes, as well as in assigning urgency to the earthquake. Any discovery of potentially useful information for earthquake prediction is incomplete unless quantitative modeling of risk is considered. Therefore, this manuscript describes the prospect of earthquake predictability research to realize practical operational forecasting in the near future.","container-title":"Statistical Science","ISSN":"0883-4237","issue":"4","note":"publisher: Institute of Mathematical Statistics","page":"521-541","source":"JSTOR","title":"A Prospect of Earthquake Prediction Research","URL":"https://www.jstor.org/stable/43288434","volume":"28","author":[{"family":"Ogata","given":"Yosihiko"}],"accessed":{"date-parts":[["2024",6,7]]},"issued":{"date-parts":[["2013"]]}},"locator":"521","label":"page"}],"schema":"https://github.com/citation-style-language/schema/raw/master/csl-citation.json"} </w:instrText>
      </w:r>
      <w:r>
        <w:fldChar w:fldCharType="separate"/>
      </w:r>
      <w:r w:rsidRPr="002528FF">
        <w:rPr>
          <w:rFonts w:ascii="Aptos" w:hAnsi="Aptos" w:cs="Times New Roman"/>
          <w:kern w:val="0"/>
        </w:rPr>
        <w:t xml:space="preserve">Yosihiko Ogata, ‘A Prospect of Earthquake Prediction Research’, </w:t>
      </w:r>
      <w:r w:rsidRPr="002528FF">
        <w:rPr>
          <w:rFonts w:ascii="Aptos" w:hAnsi="Aptos" w:cs="Times New Roman"/>
          <w:i/>
          <w:iCs/>
          <w:kern w:val="0"/>
        </w:rPr>
        <w:t>Statistical Science</w:t>
      </w:r>
      <w:r w:rsidRPr="002528FF">
        <w:rPr>
          <w:rFonts w:ascii="Aptos" w:hAnsi="Aptos" w:cs="Times New Roman"/>
          <w:kern w:val="0"/>
        </w:rPr>
        <w:t xml:space="preserve"> 28, no. 4 (2013): 521, https://www.jstor.org/stable/43288434.</w:t>
      </w:r>
      <w:r>
        <w:fldChar w:fldCharType="end"/>
      </w:r>
    </w:p>
  </w:footnote>
  <w:footnote w:id="7">
    <w:p w14:paraId="661C3BEA" w14:textId="3026AF41" w:rsidR="002528FF" w:rsidRPr="002528FF" w:rsidRDefault="002528FF">
      <w:pPr>
        <w:pStyle w:val="FootnoteText"/>
        <w:rPr>
          <w:lang w:val="hu-HU"/>
        </w:rPr>
      </w:pPr>
      <w:r>
        <w:rPr>
          <w:rStyle w:val="FootnoteReference"/>
        </w:rPr>
        <w:footnoteRef/>
      </w:r>
      <w:r>
        <w:t xml:space="preserve"> </w:t>
      </w:r>
      <w:r>
        <w:fldChar w:fldCharType="begin"/>
      </w:r>
      <w:r w:rsidR="00CB28ED">
        <w:instrText xml:space="preserve"> ADDIN ZOTERO_ITEM CSL_CITATION {"citationID":"gi6QWTUf","properties":{"formattedCitation":"Ogata, 539.","plainCitation":"Ogata, 539.","noteIndex":7},"citationItems":[{"id":1399,"uris":["http://zotero.org/users/6994247/items/R3F3LPSP"],"itemData":{"id":1399,"type":"article-journal","abstract":"Earthquakes occur because of abrupt slips on faults due to accumulated stress in the Earth's crust. Because most of these faults and their mechanisms are not readily apparent, deterministic earthquake prediction is difficult. For effective prediction, complex conditions and uncertain elements must be considered, which necessitates stochastic prediction. In particular, a large amount of uncertainty lies in identifying whether abnormal phenomena are precursors to large earthquakes, as well as in assigning urgency to the earthquake. Any discovery of potentially useful information for earthquake prediction is incomplete unless quantitative modeling of risk is considered. Therefore, this manuscript describes the prospect of earthquake predictability research to realize practical operational forecasting in the near future.","container-title":"Statistical Science","ISSN":"0883-4237","issue":"4","note":"publisher: Institute of Mathematical Statistics","page":"521-541","source":"JSTOR","title":"A Prospect of Earthquake Prediction Research","URL":"https://www.jstor.org/stable/43288434","volume":"28","author":[{"family":"Ogata","given":"Yosihiko"}],"accessed":{"date-parts":[["2024",6,7]]},"issued":{"date-parts":[["2013"]]}},"locator":"539","label":"page"}],"schema":"https://github.com/citation-style-language/schema/raw/master/csl-citation.json"} </w:instrText>
      </w:r>
      <w:r>
        <w:fldChar w:fldCharType="separate"/>
      </w:r>
      <w:r w:rsidRPr="002528FF">
        <w:rPr>
          <w:rFonts w:ascii="Aptos" w:hAnsi="Aptos"/>
        </w:rPr>
        <w:t>Ogata, 539.</w:t>
      </w:r>
      <w:r>
        <w:fldChar w:fldCharType="end"/>
      </w:r>
    </w:p>
  </w:footnote>
  <w:footnote w:id="8">
    <w:p w14:paraId="5E12C1E4" w14:textId="4D0AAE66" w:rsidR="009316CC" w:rsidRPr="009316CC" w:rsidRDefault="009316CC">
      <w:pPr>
        <w:pStyle w:val="FootnoteText"/>
        <w:rPr>
          <w:lang w:val="hu-HU"/>
        </w:rPr>
      </w:pPr>
      <w:r>
        <w:rPr>
          <w:rStyle w:val="FootnoteReference"/>
        </w:rPr>
        <w:footnoteRef/>
      </w:r>
      <w:r>
        <w:t xml:space="preserve"> </w:t>
      </w:r>
      <w:r>
        <w:fldChar w:fldCharType="begin"/>
      </w:r>
      <w:r>
        <w:instrText xml:space="preserve"> ADDIN ZOTERO_ITEM CSL_CITATION {"citationID":"CrAMgml4","properties":{"formattedCitation":"Dennis Normile, \\uc0\\u8216{}Japan Holds Firm to Shaky Science\\uc0\\u8217{}, {\\i{}Science} 264, no. 5166 (1994): 1656, https://www.jstor.org/stable/2883897.","plainCitation":"Dennis Normile, ‘Japan Holds Firm to Shaky Science’, Science 264, no. 5166 (1994): 1656, https://www.jstor.org/stable/2883897.","noteIndex":7},"citationItems":[{"id":1405,"uris":["http://zotero.org/users/6994247/items/MJPSS9IC"],"itemData":{"id":1405,"type":"article-journal","container-title":"Science","ISSN":"0036-8075","issue":"5166","note":"publisher: American Association for the Advancement of Science","page":"1656-1658","source":"JSTOR","title":"Japan Holds Firm to Shaky Science","URL":"https://www.jstor.org/stable/2883897","volume":"264","author":[{"family":"Normile","given":"Dennis"}],"accessed":{"date-parts":[["2024",9,2]]},"issued":{"date-parts":[["1994"]]}},"locator":"1656","label":"page"}],"schema":"https://github.com/citation-style-language/schema/raw/master/csl-citation.json"} </w:instrText>
      </w:r>
      <w:r>
        <w:fldChar w:fldCharType="separate"/>
      </w:r>
      <w:r w:rsidRPr="009316CC">
        <w:rPr>
          <w:rFonts w:ascii="Aptos" w:hAnsi="Aptos" w:cs="Times New Roman"/>
          <w:kern w:val="0"/>
        </w:rPr>
        <w:t xml:space="preserve">Dennis Normile, ‘Japan Holds Firm to Shaky Science’, </w:t>
      </w:r>
      <w:r w:rsidRPr="009316CC">
        <w:rPr>
          <w:rFonts w:ascii="Aptos" w:hAnsi="Aptos" w:cs="Times New Roman"/>
          <w:i/>
          <w:iCs/>
          <w:kern w:val="0"/>
        </w:rPr>
        <w:t>Science</w:t>
      </w:r>
      <w:r w:rsidRPr="009316CC">
        <w:rPr>
          <w:rFonts w:ascii="Aptos" w:hAnsi="Aptos" w:cs="Times New Roman"/>
          <w:kern w:val="0"/>
        </w:rPr>
        <w:t xml:space="preserve"> 264, no. 5166 (1994): 1656, https://www.jstor.org/stable/2883897.</w:t>
      </w:r>
      <w:r>
        <w:fldChar w:fldCharType="end"/>
      </w:r>
    </w:p>
  </w:footnote>
  <w:footnote w:id="9">
    <w:p w14:paraId="2BC54B69" w14:textId="45F0463D" w:rsidR="0032125B" w:rsidRPr="0032125B" w:rsidRDefault="0032125B">
      <w:pPr>
        <w:pStyle w:val="FootnoteText"/>
        <w:rPr>
          <w:lang w:val="hu-HU"/>
        </w:rPr>
      </w:pPr>
      <w:r>
        <w:rPr>
          <w:rStyle w:val="FootnoteReference"/>
        </w:rPr>
        <w:footnoteRef/>
      </w:r>
      <w:r>
        <w:t xml:space="preserve"> </w:t>
      </w:r>
      <w:r>
        <w:fldChar w:fldCharType="begin"/>
      </w:r>
      <w:r>
        <w:instrText xml:space="preserve"> ADDIN ZOTERO_ITEM CSL_CITATION {"citationID":"zPn0XMAj","properties":{"formattedCitation":"Theodoros M. Tsapanos and Paul W. Burton, \\uc0\\u8216{}Seismic Hazard Evaluation for Specific Seismic Regions of the World\\uc0\\u8217{}, {\\i{}Tectonophysics} 194, no. 1 (20 July 1991): 153\\uc0\\u8211{}69, https://doi.org/10.1016/0040-1951(91)90278-Z.","plainCitation":"Theodoros M. Tsapanos and Paul W. Burton, ‘Seismic Hazard Evaluation for Specific Seismic Regions of the World’, Tectonophysics 194, no. 1 (20 July 1991): 153–69, https://doi.org/10.1016/0040-1951(91)90278-Z.","noteIndex":8},"citationItems":[{"id":1407,"uris":["http://zotero.org/users/6994247/items/GLLB3866"],"itemData":{"id":1407,"type":"article-journal","abstract":"Seismic hazard is estimated for fifty of the most seismically active countries of the world using the technique of Gumbel's third asymptotic distribution of extreme values and hazard maps are produced. For this purpose a catalogue of 9700 earthquakes with magnitudes M ≥ 5.5 has been compiled and earthquakes in the time period 1898–1985 are examined here. An equal area grid point mesh, of about 5° latitude × 5° longitude, is chosen to represent the local seismicity. This cell size corresponds approximately to the area of Romania which is the smallest country examined. The results estimate the most probable maximum magnitude for a time period of 85 years, which exceeds magnitude 7 for all fifty of the cellular seismic regions, and the contour maps and tables show its spatial variation and rank the countries in terms of overall relative seismic hazard. The maps effectively produce a brief seismic hazard atlas.","container-title":"Tectonophysics","DOI":"10.1016/0040-1951(91)90278-Z","ISSN":"0040-1951","issue":"1","journalAbbreviation":"Tectonophysics","page":"153-169","source":"ScienceDirect","title":"Seismic hazard evaluation for specific seismic regions of the world","URL":"https://www.sciencedirect.com/science/article/pii/004019519190278Z","volume":"194","author":[{"family":"Tsapanos","given":"Theodoros M."},{"family":"Burton","given":"Paul W."}],"accessed":{"date-parts":[["2024",9,2]]},"issued":{"date-parts":[["1991",7,20]]}}}],"schema":"https://github.com/citation-style-language/schema/raw/master/csl-citation.json"} </w:instrText>
      </w:r>
      <w:r>
        <w:fldChar w:fldCharType="separate"/>
      </w:r>
      <w:r w:rsidRPr="0032125B">
        <w:rPr>
          <w:rFonts w:ascii="Aptos" w:hAnsi="Aptos" w:cs="Times New Roman"/>
          <w:kern w:val="0"/>
        </w:rPr>
        <w:t xml:space="preserve">Theodoros M. Tsapanos and Paul W. Burton, ‘Seismic Hazard Evaluation for Specific Seismic Regions of the World’, </w:t>
      </w:r>
      <w:r w:rsidRPr="0032125B">
        <w:rPr>
          <w:rFonts w:ascii="Aptos" w:hAnsi="Aptos" w:cs="Times New Roman"/>
          <w:i/>
          <w:iCs/>
          <w:kern w:val="0"/>
        </w:rPr>
        <w:t>Tectonophysics</w:t>
      </w:r>
      <w:r w:rsidRPr="0032125B">
        <w:rPr>
          <w:rFonts w:ascii="Aptos" w:hAnsi="Aptos" w:cs="Times New Roman"/>
          <w:kern w:val="0"/>
        </w:rPr>
        <w:t xml:space="preserve"> 194, no. 1 (20 July 1991): 153–69, https://doi.org/10.1016/0040-1951(91)90278-Z.</w:t>
      </w:r>
      <w:r>
        <w:fldChar w:fldCharType="end"/>
      </w:r>
    </w:p>
  </w:footnote>
  <w:footnote w:id="10">
    <w:p w14:paraId="648A564A" w14:textId="1ACF0014" w:rsidR="00533ACF" w:rsidRPr="00533ACF" w:rsidRDefault="00533ACF">
      <w:pPr>
        <w:pStyle w:val="FootnoteText"/>
        <w:rPr>
          <w:lang w:val="hu-HU"/>
        </w:rPr>
      </w:pPr>
      <w:r>
        <w:rPr>
          <w:rStyle w:val="FootnoteReference"/>
        </w:rPr>
        <w:footnoteRef/>
      </w:r>
      <w:r>
        <w:t xml:space="preserve"> </w:t>
      </w:r>
      <w:r>
        <w:fldChar w:fldCharType="begin"/>
      </w:r>
      <w:r>
        <w:instrText xml:space="preserve"> ADDIN ZOTERO_ITEM CSL_CITATION {"citationID":"cjDIWidw","properties":{"formattedCitation":"Elena Samardjieva and Jos\\uc0\\u233{} Badal, \\uc0\\u8216{}Estimation of the Expected Number of Casualties Caused by Strong Earthquakes\\uc0\\u8217{}, {\\i{}Bulletin of the Seismological Society of America} 92, no. 6 (1 August 2002): 2318, https://doi.org/10.1785/0120010112.","plainCitation":"Elena Samardjieva and José Badal, ‘Estimation of the Expected Number of Casualties Caused by Strong Earthquakes’, Bulletin of the Seismological Society of America 92, no. 6 (1 August 2002): 2318, https://doi.org/10.1785/0120010112.","noteIndex":9},"citationItems":[{"id":1431,"uris":["http://zotero.org/users/6994247/items/3T4Y5KXL"],"itemData":{"id":1431,"type":"article-journal","abstract":"The human losses after strong earthquakes that occurred in the world during the twentieth century have been analyzed, and a quantitative model for a preliminary assessment of casualties is proposed. It consists of a correlation between the number of casualties and the earthquake magnitude as a function of population density. We tackle the distribution of the total number of casualties within areas of different macroseismic intensity. Prognostic estimations of the expected number of killed or injured people caused by a supposed strong earthquake in Andalucia (Spain), using the model based on worldwide data, are suggested. Prognostic estimations based on specific data about the Kanto–Tokai (Japan) region are likewise given and compared with the number of casualties due to the 1995 Kobe (Japan) earthquake. In relation to the expected number of victims in areas affected by strong seismic impacts, we compute the casualty rate as the number of people killed divided into the inhabitants of a region and show its variation for different population density groups in the case of two extreme earthquake magnitudes.","container-title":"Bulletin of the Seismological Society of America","DOI":"10.1785/0120010112","ISSN":"0037-1106","issue":"6","journalAbbreviation":"Bulletin of the Seismological Society of America","page":"2310-2322","source":"Silverchair","title":"Estimation of the Expected Number of Casualties Caused by Strong Earthquakes","URL":"https://doi.org/10.1785/0120010112","volume":"92","author":[{"family":"Samardjieva","given":"Elena"},{"family":"Badal","given":"José"}],"accessed":{"date-parts":[["2024",9,4]]},"issued":{"date-parts":[["2002",8,1]]}},"locator":"2318","label":"page"}],"schema":"https://github.com/citation-style-language/schema/raw/master/csl-citation.json"} </w:instrText>
      </w:r>
      <w:r>
        <w:fldChar w:fldCharType="separate"/>
      </w:r>
      <w:r w:rsidRPr="00533ACF">
        <w:rPr>
          <w:rFonts w:ascii="Aptos" w:hAnsi="Aptos" w:cs="Times New Roman"/>
          <w:kern w:val="0"/>
        </w:rPr>
        <w:t xml:space="preserve">Elena Samardjieva and José Badal, ‘Estimation of the Expected Number of Casualties Caused by Strong Earthquakes’, </w:t>
      </w:r>
      <w:r w:rsidRPr="00533ACF">
        <w:rPr>
          <w:rFonts w:ascii="Aptos" w:hAnsi="Aptos" w:cs="Times New Roman"/>
          <w:i/>
          <w:iCs/>
          <w:kern w:val="0"/>
        </w:rPr>
        <w:t>Bulletin of the Seismological Society of America</w:t>
      </w:r>
      <w:r w:rsidRPr="00533ACF">
        <w:rPr>
          <w:rFonts w:ascii="Aptos" w:hAnsi="Aptos" w:cs="Times New Roman"/>
          <w:kern w:val="0"/>
        </w:rPr>
        <w:t xml:space="preserve"> 92, no. 6 (1 August 2002): 2318, https://doi.org/10.1785/0120010112.</w:t>
      </w:r>
      <w:r>
        <w:fldChar w:fldCharType="end"/>
      </w:r>
    </w:p>
  </w:footnote>
  <w:footnote w:id="11">
    <w:p w14:paraId="2A9729D5" w14:textId="69092A5C" w:rsidR="00F74E76" w:rsidRPr="00F74E76" w:rsidRDefault="00F74E76">
      <w:pPr>
        <w:pStyle w:val="FootnoteText"/>
        <w:rPr>
          <w:lang w:val="hu-HU"/>
        </w:rPr>
      </w:pPr>
      <w:r>
        <w:rPr>
          <w:rStyle w:val="FootnoteReference"/>
        </w:rPr>
        <w:footnoteRef/>
      </w:r>
      <w:r>
        <w:t xml:space="preserve"> </w:t>
      </w:r>
      <w:r>
        <w:fldChar w:fldCharType="begin"/>
      </w:r>
      <w:r>
        <w:instrText xml:space="preserve"> ADDIN ZOTERO_ITEM CSL_CITATION {"citationID":"FwGevDWr","properties":{"formattedCitation":"Nurafiqah Syahirah Md Ridzwan and Siti Harwani Md. Yusoff, \\uc0\\u8216{}Machine Learning for Earthquake Prediction: A Review (2017\\uc0\\u8211{}2021)\\uc0\\u8217{}, {\\i{}Earth Science Informatics} 16, no. 2 (1 June 2023): 1144, https://doi.org/10.1007/s12145-023-00991-z.","plainCitation":"Nurafiqah Syahirah Md Ridzwan and Siti Harwani Md. Yusoff, ‘Machine Learning for Earthquake Prediction: A Review (2017–2021)’, Earth Science Informatics 16, no. 2 (1 June 2023): 1144, https://doi.org/10.1007/s12145-023-00991-z.","noteIndex":11},"citationItems":[{"id":1436,"uris":["http://zotero.org/users/6994247/items/ZD7KN7SW"],"itemData":{"id":1436,"type":"article-journal","abstract":"For decades, earthquake prediction has been the focus of research using various methods and techniques. It is difficult to predict the size and location of the next earthquake after one has occurred. However, machine learning (ML)-based approaches and methods have shown promising results in earthquake prediction over the past few years. Thus, we compiled 31 studies on earthquake prediction using ML algorithms published from 2017 to 2021, with the aim of providing a comprehensive review of previous research. This study covered different geographical regions globally. Most of the models analysed in this study are keen on predicting the earthquake magnitude, trend and occurrence. A comparison of different types of seismic indicators and the performance of the algorithms were summarized to identify the best seismic indicators with a high-performance ML algorithm. Towards this end, we have discussed the highest performance of the ML algorithm for earthquake magnitude prediction and suggested a potential algorithm for future studies.","container-title":"Earth Science Informatics","DOI":"10.1007/s12145-023-00991-z","ISSN":"1865-0481","issue":"2","journalAbbreviation":"Earth Sci Inform","language":"en","page":"1133-1149","source":"Springer Link","title":"Machine learning for earthquake prediction: a review (2017–2021)","title-short":"Machine learning for earthquake prediction","URL":"https://doi.org/10.1007/s12145-023-00991-z","volume":"16","author":[{"family":"Ridzwan","given":"Nurafiqah Syahirah Md"},{"family":"Yusoff","given":"Siti Harwani Md."}],"accessed":{"date-parts":[["2024",9,4]]},"issued":{"date-parts":[["2023",6,1]]}},"locator":"1144","label":"page"}],"schema":"https://github.com/citation-style-language/schema/raw/master/csl-citation.json"} </w:instrText>
      </w:r>
      <w:r>
        <w:fldChar w:fldCharType="separate"/>
      </w:r>
      <w:r w:rsidRPr="00F74E76">
        <w:rPr>
          <w:rFonts w:ascii="Aptos" w:hAnsi="Aptos" w:cs="Times New Roman"/>
          <w:kern w:val="0"/>
        </w:rPr>
        <w:t xml:space="preserve">Nurafiqah Syahirah Md Ridzwan and Siti Harwani Md. Yusoff, ‘Machine Learning for Earthquake Prediction: A Review (2017–2021)’, </w:t>
      </w:r>
      <w:r w:rsidRPr="00F74E76">
        <w:rPr>
          <w:rFonts w:ascii="Aptos" w:hAnsi="Aptos" w:cs="Times New Roman"/>
          <w:i/>
          <w:iCs/>
          <w:kern w:val="0"/>
        </w:rPr>
        <w:t>Earth Science Informatics</w:t>
      </w:r>
      <w:r w:rsidRPr="00F74E76">
        <w:rPr>
          <w:rFonts w:ascii="Aptos" w:hAnsi="Aptos" w:cs="Times New Roman"/>
          <w:kern w:val="0"/>
        </w:rPr>
        <w:t xml:space="preserve"> 16, no. 2 (1 June 2023): 1144, https://doi.org/10.1007/s12145-023-00991-z.</w:t>
      </w:r>
      <w:r>
        <w:fldChar w:fldCharType="end"/>
      </w:r>
    </w:p>
  </w:footnote>
  <w:footnote w:id="12">
    <w:p w14:paraId="20538AC7" w14:textId="51E6F0F0" w:rsidR="00F77531" w:rsidRPr="00F77531" w:rsidRDefault="00F77531">
      <w:pPr>
        <w:pStyle w:val="FootnoteText"/>
        <w:rPr>
          <w:lang w:val="hu-HU"/>
        </w:rPr>
      </w:pPr>
      <w:r>
        <w:rPr>
          <w:rStyle w:val="FootnoteReference"/>
        </w:rPr>
        <w:footnoteRef/>
      </w:r>
      <w:r>
        <w:t xml:space="preserve"> </w:t>
      </w:r>
      <w:r>
        <w:fldChar w:fldCharType="begin"/>
      </w:r>
      <w:r>
        <w:instrText xml:space="preserve"> ADDIN ZOTERO_ITEM CSL_CITATION {"citationID":"bYl1dAqp","properties":{"formattedCitation":"Chen Cao et al., \\uc0\\u8216{}Long Short-Term Memory Networks for Pattern Recognition of Synthetical Complete Earthquake Catalog\\uc0\\u8217{}, {\\i{}Sustainability} 13, no. 9 (January 2021): 4905, https://doi.org/10.3390/su13094905.","plainCitation":"Chen Cao et al., ‘Long Short-Term Memory Networks for Pattern Recognition of Synthetical Complete Earthquake Catalog’, Sustainability 13, no. 9 (January 2021): 4905, https://doi.org/10.3390/su13094905.","noteIndex":12},"citationItems":[{"id":1438,"uris":["http://zotero.org/users/6994247/items/JV2DZS55"],"itemData":{"id":1438,"type":"article-journal","abstract":"Exploring the spatiotemporal distribution of earthquake activity, especially earthquake migration of fault systems, can greatly to understand the basic mechanics of earthquakes and the assessment of earthquake risk. By establishing a three-dimensional strike-slip fault model, to derive the stress response and fault slip along the fault under regional stress conditions. Our study helps to create a long-term, complete earthquake catalog. We modelled Long-Short Term Memory (LSTM) networks for pattern recognition of the synthetical earthquake catalog. The performance of the models was compared using the mean-square error (MSE). Our results showed clearly the application of LSTM showed a meaningful result of 0.08% in the MSE values. Our best model can predict the time and magnitude of the earthquakes with a magnitude greater than Mw = 6.5 with a similar clustering period. These results showed conclusively that applying LSTM in a spatiotemporal series prediction provides a potential application in the study of earthquake mechanics and forecasting of major earthquake events.","container-title":"Sustainability","DOI":"10.3390/su13094905","ISSN":"2071-1050","issue":"9","language":"en","license":"http://creativecommons.org/licenses/by/3.0/","note":"number: 9\npublisher: Multidisciplinary Digital Publishing Institute","page":"4905","source":"www.mdpi.com","title":"Long Short-Term Memory Networks for Pattern Recognition of Synthetical Complete Earthquake Catalog","URL":"https://www.mdpi.com/2071-1050/13/9/4905","volume":"13","author":[{"family":"Cao","given":"Chen"},{"family":"Wu","given":"Xiangbin"},{"family":"Yang","given":"Lizhi"},{"family":"Zhang","given":"Qian"},{"family":"Wang","given":"Xianying"},{"family":"Yuen","given":"David A."},{"family":"Luo","given":"Gang"}],"accessed":{"date-parts":[["2024",9,4]]},"issued":{"date-parts":[["2021",1]]}}}],"schema":"https://github.com/citation-style-language/schema/raw/master/csl-citation.json"} </w:instrText>
      </w:r>
      <w:r>
        <w:fldChar w:fldCharType="separate"/>
      </w:r>
      <w:r w:rsidRPr="00F77531">
        <w:rPr>
          <w:rFonts w:ascii="Aptos" w:hAnsi="Aptos" w:cs="Times New Roman"/>
          <w:kern w:val="0"/>
        </w:rPr>
        <w:t xml:space="preserve">Chen Cao et al., ‘Long Short-Term Memory Networks for Pattern Recognition of Synthetical Complete Earthquake Catalog’, </w:t>
      </w:r>
      <w:r w:rsidRPr="00F77531">
        <w:rPr>
          <w:rFonts w:ascii="Aptos" w:hAnsi="Aptos" w:cs="Times New Roman"/>
          <w:i/>
          <w:iCs/>
          <w:kern w:val="0"/>
        </w:rPr>
        <w:t>Sustainability</w:t>
      </w:r>
      <w:r w:rsidRPr="00F77531">
        <w:rPr>
          <w:rFonts w:ascii="Aptos" w:hAnsi="Aptos" w:cs="Times New Roman"/>
          <w:kern w:val="0"/>
        </w:rPr>
        <w:t xml:space="preserve"> 13, no. 9 (January 2021): 4905, https://doi.org/10.3390/su13094905.</w:t>
      </w:r>
      <w:r>
        <w:fldChar w:fldCharType="end"/>
      </w:r>
    </w:p>
  </w:footnote>
  <w:footnote w:id="13">
    <w:p w14:paraId="0FBDEC1D" w14:textId="488A46BE" w:rsidR="00F77531" w:rsidRPr="00F77531" w:rsidRDefault="00F77531">
      <w:pPr>
        <w:pStyle w:val="FootnoteText"/>
        <w:rPr>
          <w:lang w:val="hu-HU"/>
        </w:rPr>
      </w:pPr>
      <w:r>
        <w:rPr>
          <w:rStyle w:val="FootnoteReference"/>
        </w:rPr>
        <w:footnoteRef/>
      </w:r>
      <w:r>
        <w:t xml:space="preserve"> </w:t>
      </w:r>
      <w:r>
        <w:fldChar w:fldCharType="begin"/>
      </w:r>
      <w:r>
        <w:instrText xml:space="preserve"> ADDIN ZOTERO_ITEM CSL_CITATION {"citationID":"yzhBAdUV","properties":{"formattedCitation":"Zhenyu Bao et al., \\uc0\\u8216{}A Deep Learning-Based Electromagnetic Signal for Earthquake Magnitude Prediction\\uc0\\u8217{}, {\\i{}Sensors} 21, no. 13 (January 2021): 4434, https://doi.org/10.3390/s21134434.","plainCitation":"Zhenyu Bao et al., ‘A Deep Learning-Based Electromagnetic Signal for Earthquake Magnitude Prediction’, Sensors 21, no. 13 (January 2021): 4434, https://doi.org/10.3390/s21134434.","noteIndex":13},"citationItems":[{"id":1440,"uris":["http://zotero.org/users/6994247/items/Y9M45Y9M"],"itemData":{"id":1440,"type":"article-journal","abstract":"The influence of earthquake disasters on human social life is positively related to the magnitude and intensity of the earthquake, and effectively avoiding casualties and property losses can be attributed to the accurate prediction of earthquakes. In this study, an electromagnetic sensor is investigated to assess earthquakes in advance by collecting earthquake signals. At present, the mainstream earthquake magnitude prediction comprises two methods. On the one hand, most geophysicists or data analysis experts extract a series of basic features from earthquake precursor signals for seismic classification. On the other hand, the obtained data related to earth activities by seismograph or space satellite are directly used in classification networks. This article proposes a CNN and designs a 3D feature-map which can be used to solve the problem of earthquake magnitude classification by combining the advantages of shallow features and high-dimensional information. In addition, noise simulation technology and SMOTE oversampling technology are applied to overcome the problem of seismic data imbalance. The signals collected by electromagnetic sensors are used to evaluate the method proposed in this article. The results show that the method proposed in this paper can classify earthquake magnitudes well.","container-title":"Sensors","DOI":"10.3390/s21134434","ISSN":"1424-8220","issue":"13","language":"en","license":"http://creativecommons.org/licenses/by/3.0/","note":"number: 13\npublisher: Multidisciplinary Digital Publishing Institute","page":"4434","source":"www.mdpi.com","title":"A Deep Learning-Based Electromagnetic Signal for Earthquake Magnitude Prediction","URL":"https://www.mdpi.com/1424-8220/21/13/4434","volume":"21","author":[{"family":"Bao","given":"Zhenyu"},{"family":"Zhao","given":"Jingyu"},{"family":"Huang","given":"Pu"},{"family":"Yong","given":"Shanshan"},{"family":"Wang","given":"Xin’an"}],"accessed":{"date-parts":[["2024",9,4]]},"issued":{"date-parts":[["2021",1]]}}}],"schema":"https://github.com/citation-style-language/schema/raw/master/csl-citation.json"} </w:instrText>
      </w:r>
      <w:r>
        <w:fldChar w:fldCharType="separate"/>
      </w:r>
      <w:r w:rsidRPr="00F77531">
        <w:rPr>
          <w:rFonts w:ascii="Aptos" w:hAnsi="Aptos" w:cs="Times New Roman"/>
          <w:kern w:val="0"/>
        </w:rPr>
        <w:t xml:space="preserve">Zhenyu Bao et al., ‘A Deep Learning-Based Electromagnetic Signal for Earthquake Magnitude Prediction’, </w:t>
      </w:r>
      <w:r w:rsidRPr="00F77531">
        <w:rPr>
          <w:rFonts w:ascii="Aptos" w:hAnsi="Aptos" w:cs="Times New Roman"/>
          <w:i/>
          <w:iCs/>
          <w:kern w:val="0"/>
        </w:rPr>
        <w:t>Sensors</w:t>
      </w:r>
      <w:r w:rsidRPr="00F77531">
        <w:rPr>
          <w:rFonts w:ascii="Aptos" w:hAnsi="Aptos" w:cs="Times New Roman"/>
          <w:kern w:val="0"/>
        </w:rPr>
        <w:t xml:space="preserve"> 21, no. 13 (January 2021): 4434, https://doi.org/10.3390/s21134434.</w:t>
      </w:r>
      <w:r>
        <w:fldChar w:fldCharType="end"/>
      </w:r>
    </w:p>
  </w:footnote>
  <w:footnote w:id="14">
    <w:p w14:paraId="55394823" w14:textId="4053DC45" w:rsidR="00DF53C8" w:rsidRPr="00DF53C8" w:rsidRDefault="00DF53C8">
      <w:pPr>
        <w:pStyle w:val="FootnoteText"/>
        <w:rPr>
          <w:lang w:val="hu-HU"/>
        </w:rPr>
      </w:pPr>
      <w:r>
        <w:rPr>
          <w:rStyle w:val="FootnoteReference"/>
        </w:rPr>
        <w:footnoteRef/>
      </w:r>
      <w:r w:rsidRPr="00FB42DA">
        <w:rPr>
          <w:lang w:val="fr-FR"/>
        </w:rPr>
        <w:t xml:space="preserve"> </w:t>
      </w:r>
      <w:r>
        <w:fldChar w:fldCharType="begin"/>
      </w:r>
      <w:r w:rsidRPr="00FB42DA">
        <w:rPr>
          <w:lang w:val="fr-FR"/>
        </w:rPr>
        <w:instrText xml:space="preserve"> ADDIN ZOTERO_ITEM CSL_CITATION {"citationID":"qn0H9Vbp","properties":{"formattedCitation":"Bao et al., 14.","plainCitation":"Bao et al., 14.","noteIndex":14},"citationItems":[{"id":1440,"uris":["http://zotero.org/users/6994247/items/Y9M45Y9M"],"itemData":{"id":1440,"type":"article-journal","abstract":"The influence of earthquake disasters on human social life is positively related to the magnitude and intensity of the earthquake, and effectively avoiding casualties and property losses can be attributed to the accurate prediction of earthquakes. In this study, an electromagnetic sensor is investigated to assess earthquakes in advance by collecting earthquake signals. At present, the mainstream earthquake magnitude prediction comprises two methods. On the one hand, most geophysicists or data analysis experts extract a series of basic features from earthquake precursor signals for seismic classification. On the other hand, the obtained data related to earth activities by seismograph or space satellite are directly used in classification networks. This article proposes a CNN and designs a 3D feature-map which can be used to solve the problem of earthquake magnitude classification by combining the advantages of shallow features and high-dimensional information. In addition, noise simulation technology and SMOTE oversampling technology are applied to overcome the problem of seismic data imbalance. The signals collected by electromagnetic sensors are used to evaluate the method proposed in this article. The results show that the method proposed in this paper can classify earthquake magnitudes well.","container-title":"Sensors","DOI":"10.3390/s21134434","ISSN":"1424-8220","issue":"13","language":"en","license":"http://creativecommons.org/licenses/by/3.0/","note":"number: 13\npublisher: Multidisciplinary Digital Publishing Institute","page":"4434","source":"www.mdpi.com","title":"A Deep Learning-Based Electromagnetic Signal for Earthquake Magnitude Prediction","URL":"https://www.mdpi.com/1424-8220/21/13/4434","volume":"21","author":[{"family":"Bao","given":"Zhenyu"},{"family":"Zhao","given":"Jingyu"},{"family":"Huang","given":"Pu"},{"family":"Yong","given":"Shanshan"},{"family":"Wang","given":"Xin’an"}],"accessed":{"date-parts":[["2024",9,4]]},"issued":{"date-parts":[["2021",1]]}},"locator":"14","label":"page"}],"schema":"https://github.com/citation-style-language/schema/raw/master/csl-citation.json"} </w:instrText>
      </w:r>
      <w:r>
        <w:fldChar w:fldCharType="separate"/>
      </w:r>
      <w:r w:rsidRPr="00FB42DA">
        <w:rPr>
          <w:rFonts w:ascii="Aptos" w:hAnsi="Aptos"/>
          <w:lang w:val="fr-FR"/>
        </w:rPr>
        <w:t>Bao et al., 14.</w:t>
      </w:r>
      <w:r>
        <w:fldChar w:fldCharType="end"/>
      </w:r>
    </w:p>
  </w:footnote>
  <w:footnote w:id="15">
    <w:p w14:paraId="6C97F736" w14:textId="7AF67B10" w:rsidR="00D827D4" w:rsidRPr="00D827D4" w:rsidRDefault="00D827D4">
      <w:pPr>
        <w:pStyle w:val="FootnoteText"/>
        <w:rPr>
          <w:lang w:val="hu-HU"/>
        </w:rPr>
      </w:pPr>
      <w:r>
        <w:rPr>
          <w:rStyle w:val="FootnoteReference"/>
        </w:rPr>
        <w:footnoteRef/>
      </w:r>
      <w:r w:rsidRPr="00FB42DA">
        <w:rPr>
          <w:lang w:val="fr-FR"/>
        </w:rPr>
        <w:t xml:space="preserve"> </w:t>
      </w:r>
      <w:r>
        <w:fldChar w:fldCharType="begin"/>
      </w:r>
      <w:r w:rsidRPr="00FB42DA">
        <w:rPr>
          <w:lang w:val="fr-FR"/>
        </w:rPr>
        <w:instrText xml:space="preserve"> ADDIN ZOTERO_ITEM CSL_CITATION {"citationID":"lRLO9I4v","properties":{"formattedCitation":"S. Mostafa Mousavi and Gregory C. Beroza, \\uc0\\u8216{}A Machine-Learning Approach for Earthquake Magnitude Estimation\\uc0\\u8217{}, {\\i{}Geophysical Research Letters} 47, no. 1 (2020): 6, https://doi.org/10.1029/2019GL085976.","plainCitation":"S. Mostafa Mousavi and Gregory C. Beroza, ‘A Machine-Learning Approach for Earthquake Magnitude Estimation’, Geophysical Research Letters 47, no. 1 (2020): 6, https://doi.org/10.1029/2019GL085976.","noteIndex":15},"citationItems":[{"id":1442,"uris":["http://zotero.org/users/6994247/items/DFNVR3H9"],"itemData":{"id":1442,"type":"article-journal","abstract":"In this study, we present a fast and reliable method for end-to-end estimation of earthquake magnitude from raw waveforms recorded at single stations. We design a regressor (MagNet) composed of convolutional and recurrent neural networks that is not sensitive to the data normalization, hence waveform amplitude information can be utilized during the training. The network can learn distance-dependent and site-dependent functions directly from the training data. Our model can predict local magnitudes with an average error close to zero and standard deviation of 0.2 based on single-station waveforms without instrument response correction. We test the network for both local and duration magnitude scales and show a station-based learning can be an effective approach for improving the performance. The proposed approach has a variety of potential applications from routine earthquake monitoring to early warning systems.","container-title":"Geophysical Research Letters","DOI":"10.1029/2019GL085976","ISSN":"1944-8007","issue":"1","language":"en","license":"©2019. American Geophysical Union. All Rights Reserved.","note":"_eprint: https://onlinelibrary.wiley.com/doi/pdf/10.1029/2019GL085976","page":"e2019GL085976","source":"Wiley Online Library","title":"A Machine-Learning Approach for Earthquake Magnitude Estimation","URL":"https://onlinelibrary.wiley.com/doi/abs/10.1029/2019GL085976","volume":"47","author":[{"family":"Mousavi","given":"S. Mostafa"},{"family":"Beroza","given":"Gregory C."}],"accessed":{"date-parts":[["2024",9,4]]},"issued":{"date-parts":[["2020"]]}},"locator":"6","label":"page"}],"schema":"https://github.com/citation-style-language/schema/raw/master/csl-citation.json"} </w:instrText>
      </w:r>
      <w:r>
        <w:fldChar w:fldCharType="separate"/>
      </w:r>
      <w:r w:rsidRPr="00FB42DA">
        <w:rPr>
          <w:rFonts w:ascii="Aptos" w:hAnsi="Aptos" w:cs="Times New Roman"/>
          <w:kern w:val="0"/>
          <w:lang w:val="fr-FR"/>
        </w:rPr>
        <w:t xml:space="preserve">S. Mostafa Mousavi and Gregory C. Beroza, ‘A Machine-Learning Approach for Earthquake Magnitude Estimation’, </w:t>
      </w:r>
      <w:r w:rsidRPr="00FB42DA">
        <w:rPr>
          <w:rFonts w:ascii="Aptos" w:hAnsi="Aptos" w:cs="Times New Roman"/>
          <w:i/>
          <w:iCs/>
          <w:kern w:val="0"/>
          <w:lang w:val="fr-FR"/>
        </w:rPr>
        <w:t>Geophysical Research Letters</w:t>
      </w:r>
      <w:r w:rsidRPr="00FB42DA">
        <w:rPr>
          <w:rFonts w:ascii="Aptos" w:hAnsi="Aptos" w:cs="Times New Roman"/>
          <w:kern w:val="0"/>
          <w:lang w:val="fr-FR"/>
        </w:rPr>
        <w:t xml:space="preserve"> 47, no. 1 (2020): 6, https://doi.org/10.1029/2019GL085976.</w:t>
      </w:r>
      <w:r>
        <w:fldChar w:fldCharType="end"/>
      </w:r>
    </w:p>
  </w:footnote>
  <w:footnote w:id="16">
    <w:p w14:paraId="761A8838" w14:textId="04784CF0" w:rsidR="00B17FE9" w:rsidRPr="00B17FE9" w:rsidRDefault="00B17FE9">
      <w:pPr>
        <w:pStyle w:val="FootnoteText"/>
        <w:rPr>
          <w:lang w:val="hu-HU"/>
        </w:rPr>
      </w:pPr>
      <w:r>
        <w:rPr>
          <w:rStyle w:val="FootnoteReference"/>
        </w:rPr>
        <w:footnoteRef/>
      </w:r>
      <w:r>
        <w:t xml:space="preserve"> </w:t>
      </w:r>
      <w:r>
        <w:fldChar w:fldCharType="begin"/>
      </w:r>
      <w:r>
        <w:instrText xml:space="preserve"> ADDIN ZOTERO_ITEM CSL_CITATION {"citationID":"c051Bm7h","properties":{"formattedCitation":"National Research Institute for Earth Science and Disaster Resilience, \\uc0\\u8216{}NIED Hi-Net \\uc0\\u946{} Ver. [High Sensitivity Seismograph Network Japan]\\uc0\\u8217{}, accessed 4 September 2024, https://www.hinet.bosai.go.jp/.","plainCitation":"National Research Institute for Earth Science and Disaster Resilience, ‘NIED Hi-Net β Ver. [High Sensitivity Seismograph Network Japan]’, accessed 4 September 2024, https://www.hinet.bosai.go.jp/.","noteIndex":16},"citationItems":[{"id":1445,"uris":["http://zotero.org/users/6994247/items/EY83H2KR"],"itemData":{"id":1445,"type":"webpage","title":"NIED Hi-net β Ver. [High Sensitivity Seismograph Network Japan]","URL":"https://www.hinet.bosai.go.jp/","author":[{"literal":"National Research Institute for Earth Science and Disaster Resilience"}],"accessed":{"date-parts":[["2024",9,4]]}}}],"schema":"https://github.com/citation-style-language/schema/raw/master/csl-citation.json"} </w:instrText>
      </w:r>
      <w:r>
        <w:fldChar w:fldCharType="separate"/>
      </w:r>
      <w:r w:rsidRPr="00B17FE9">
        <w:rPr>
          <w:rFonts w:ascii="Aptos" w:hAnsi="Aptos" w:cs="Times New Roman"/>
          <w:kern w:val="0"/>
        </w:rPr>
        <w:t>National Research Institute for Earth Science and Disaster Resilience, ‘NIED Hi-Net β Ver. [High Sensitivity Seismograph Network Japan]’, accessed 4 September 2024, https://www.hinet.bosai.go.jp/.</w:t>
      </w:r>
      <w:r>
        <w:fldChar w:fldCharType="end"/>
      </w:r>
    </w:p>
  </w:footnote>
  <w:footnote w:id="17">
    <w:p w14:paraId="4FF1B4A1" w14:textId="7E39A4A0" w:rsidR="00DC1897" w:rsidRPr="00DC1897" w:rsidRDefault="00DC1897">
      <w:pPr>
        <w:pStyle w:val="FootnoteText"/>
        <w:rPr>
          <w:lang w:val="hu-HU"/>
        </w:rPr>
      </w:pPr>
      <w:r>
        <w:rPr>
          <w:rStyle w:val="FootnoteReference"/>
        </w:rPr>
        <w:footnoteRef/>
      </w:r>
      <w:r>
        <w:t xml:space="preserve"> </w:t>
      </w:r>
      <w:r>
        <w:fldChar w:fldCharType="begin"/>
      </w:r>
      <w:r>
        <w:instrText xml:space="preserve"> ADDIN ZOTERO_ITEM CSL_CITATION {"citationID":"us5vRrQ3","properties":{"formattedCitation":"A. D. Cliff et al., \\uc0\\u8216{}The Application of Multidimensional Scaling Methods to Epidemiological Data\\uc0\\u8217{}, {\\i{}Statistical Methods in Medical Research} 4, no. 2 (June 1995): 102, https://doi.org/10.1177/096228029500400202.","plainCitation":"A. D. Cliff et al., ‘The Application of Multidimensional Scaling Methods to Epidemiological Data’, Statistical Methods in Medical Research 4, no. 2 (June 1995): 102, https://doi.org/10.1177/096228029500400202.","noteIndex":17},"citationItems":[{"id":1362,"uris":["http://zotero.org/users/6994247/items/LDX96HSS"],"itemData":{"id":1362,"type":"article-journal","abstract":"This paper illustrates the use of multidimensional scaling methods (MDS) to examine space-time patterns in epidemic data. The paper begins by outlining the principles of MDS. The model is then formally specified and illustrated by application to two data sets. The first is partly a tutorial example. It uses monthly reported measles morbidity data for the 31-year period from January 1960 to December 1990, collected for the 50 states of the USA, plus New York City and the District of Columbia. These data are used to explore the various ways in which MDS may be used to identify changing spatial patterns in geographically-coded data. In addition to their tutorial use, the data are also employed to search for any substantive changes in the geographical structure of measles epidemics in the USA that may have followed the introduction of mass vaccination in 1965. New England appears to have developed an epidemic profile distinct from the rest of the USA, and there is tentative evidence of an urban-rural split in epidemic characteristics. The second data set takes annual reported measles mortality data for New Zealand and the states of Australia from 1860 to 1949. MDS is used to show how the spatial relationships among these geographical units have changed over time in response to changes in the sizes of local susceptible populations.","container-title":"Statistical Methods in Medical Research","DOI":"10.1177/096228029500400202","ISSN":"0962-2802","issue":"2","journalAbbreviation":"Stat Methods Med Res","language":"eng","note":"PMID: 7582200","page":"102-123","source":"PubMed","title":"The application of multidimensional scaling methods to epidemiological data","volume":"4","author":[{"family":"Cliff","given":"A. D."},{"family":"Haggett","given":"P."},{"family":"Smallman-Raynor","given":"M. R."},{"family":"Stroup","given":"D. F."},{"family":"Williamson","given":"G. D."}],"issued":{"date-parts":[["1995",6]]}},"locator":"102","label":"page"}],"schema":"https://github.com/citation-style-language/schema/raw/master/csl-citation.json"} </w:instrText>
      </w:r>
      <w:r>
        <w:fldChar w:fldCharType="separate"/>
      </w:r>
      <w:r w:rsidRPr="00DC1897">
        <w:rPr>
          <w:rFonts w:ascii="Aptos" w:hAnsi="Aptos" w:cs="Times New Roman"/>
          <w:kern w:val="0"/>
        </w:rPr>
        <w:t xml:space="preserve">A. D. Cliff et al., ‘The Application of Multidimensional Scaling Methods to Epidemiological Data’, </w:t>
      </w:r>
      <w:r w:rsidRPr="00DC1897">
        <w:rPr>
          <w:rFonts w:ascii="Aptos" w:hAnsi="Aptos" w:cs="Times New Roman"/>
          <w:i/>
          <w:iCs/>
          <w:kern w:val="0"/>
        </w:rPr>
        <w:t>Statistical Methods in Medical Research</w:t>
      </w:r>
      <w:r w:rsidRPr="00DC1897">
        <w:rPr>
          <w:rFonts w:ascii="Aptos" w:hAnsi="Aptos" w:cs="Times New Roman"/>
          <w:kern w:val="0"/>
        </w:rPr>
        <w:t xml:space="preserve"> 4, no. 2 (June 1995): 102, https://doi.org/10.1177/096228029500400202.</w:t>
      </w:r>
      <w:r>
        <w:fldChar w:fldCharType="end"/>
      </w:r>
    </w:p>
  </w:footnote>
  <w:footnote w:id="18">
    <w:p w14:paraId="3C264A59" w14:textId="78F27C84" w:rsidR="00DC1897" w:rsidRPr="00DC1897" w:rsidRDefault="00DC1897">
      <w:pPr>
        <w:pStyle w:val="FootnoteText"/>
        <w:rPr>
          <w:lang w:val="hu-HU"/>
        </w:rPr>
      </w:pPr>
      <w:r>
        <w:rPr>
          <w:rStyle w:val="FootnoteReference"/>
        </w:rPr>
        <w:footnoteRef/>
      </w:r>
      <w:r w:rsidRPr="00FB42DA">
        <w:rPr>
          <w:lang w:val="fr-FR"/>
        </w:rPr>
        <w:t xml:space="preserve"> </w:t>
      </w:r>
      <w:r>
        <w:fldChar w:fldCharType="begin"/>
      </w:r>
      <w:r w:rsidRPr="00FB42DA">
        <w:rPr>
          <w:lang w:val="fr-FR"/>
        </w:rPr>
        <w:instrText xml:space="preserve"> ADDIN ZOTERO_ITEM CSL_CITATION {"citationID":"GAEucJrZ","properties":{"formattedCitation":"Cliff et al., 102.","plainCitation":"Cliff et al., 102.","noteIndex":18},"citationItems":[{"id":1362,"uris":["http://zotero.org/users/6994247/items/LDX96HSS"],"itemData":{"id":1362,"type":"article-journal","abstract":"This paper illustrates the use of multidimensional scaling methods (MDS) to examine space-time patterns in epidemic data. The paper begins by outlining the principles of MDS. The model is then formally specified and illustrated by application to two data sets. The first is partly a tutorial example. It uses monthly reported measles morbidity data for the 31-year period from January 1960 to December 1990, collected for the 50 states of the USA, plus New York City and the District of Columbia. These data are used to explore the various ways in which MDS may be used to identify changing spatial patterns in geographically-coded data. In addition to their tutorial use, the data are also employed to search for any substantive changes in the geographical structure of measles epidemics in the USA that may have followed the introduction of mass vaccination in 1965. New England appears to have developed an epidemic profile distinct from the rest of the USA, and there is tentative evidence of an urban-rural split in epidemic characteristics. The second data set takes annual reported measles mortality data for New Zealand and the states of Australia from 1860 to 1949. MDS is used to show how the spatial relationships among these geographical units have changed over time in response to changes in the sizes of local susceptible populations.","container-title":"Statistical Methods in Medical Research","DOI":"10.1177/096228029500400202","ISSN":"0962-2802","issue":"2","journalAbbreviation":"Stat Methods Med Res","language":"eng","note":"PMID: 7582200","page":"102-123","source":"PubMed","title":"The application of multidimensional scaling methods to epidemiological data","volume":"4","author":[{"family":"Cliff","given":"A. D."},{"family":"Haggett","given":"P."},{"family":"Smallman-Raynor","given":"M. R."},{"family":"Stroup","given":"D. F."},{"family":"Williamson","given":"G. D."}],"issued":{"date-parts":[["1995",6]]}},"locator":"102","label":"page"}],"schema":"https://github.com/citation-style-language/schema/raw/master/csl-citation.json"} </w:instrText>
      </w:r>
      <w:r>
        <w:fldChar w:fldCharType="separate"/>
      </w:r>
      <w:r w:rsidRPr="00FB42DA">
        <w:rPr>
          <w:rFonts w:ascii="Aptos" w:hAnsi="Aptos"/>
          <w:lang w:val="fr-FR"/>
        </w:rPr>
        <w:t>Cliff et al., 102.</w:t>
      </w:r>
      <w:r>
        <w:fldChar w:fldCharType="end"/>
      </w:r>
    </w:p>
  </w:footnote>
  <w:footnote w:id="19">
    <w:p w14:paraId="54080F5D" w14:textId="25FA8CF1" w:rsidR="00DC1897" w:rsidRPr="00DC1897" w:rsidRDefault="00DC1897">
      <w:pPr>
        <w:pStyle w:val="FootnoteText"/>
        <w:rPr>
          <w:lang w:val="hu-HU"/>
        </w:rPr>
      </w:pPr>
      <w:r>
        <w:rPr>
          <w:rStyle w:val="FootnoteReference"/>
        </w:rPr>
        <w:footnoteRef/>
      </w:r>
      <w:r w:rsidRPr="00DC1897">
        <w:rPr>
          <w:lang w:val="hu-HU"/>
        </w:rPr>
        <w:t xml:space="preserve"> </w:t>
      </w:r>
      <w:r>
        <w:fldChar w:fldCharType="begin"/>
      </w:r>
      <w:r w:rsidRPr="00DC1897">
        <w:rPr>
          <w:lang w:val="hu-HU"/>
        </w:rPr>
        <w:instrText xml:space="preserve"> ADDIN ZOTERO_ITEM CSL_CITATION {"citationID":"zc0rGlQA","properties":{"formattedCitation":"Andreas Buja et al., \\uc0\\u8216{}Data Visualization With Multidimensional Scaling\\uc0\\u8217{}, {\\i{}Journal of Computational and Graphical Statistics} 17, no. 2 (1 June 2008): 447\\uc0\\u8211{}48, https://doi.org/10.1198/106186008X318440.","plainCitation":"Andreas Buja et al., ‘Data Visualization With Multidimensional Scaling’, Journal of Computational and Graphical Statistics 17, no. 2 (1 June 2008): 447–48, https://doi.org/10.1198/106186008X318440.","noteIndex":19},"citationItems":[{"id":1416,"uris":["http://zotero.org/users/6994247/items/N9FCVRKH"],"itemData":{"id":1416,"type":"article-journal","abstract":"We discuss methodology for multidimensional scaling (MDS) and its implementation in two software systems, GGvis and XGvis. MDS is a visualization technique for proximity data, that is, data in the form of N × N dissimilarity matrices. MDS constructs maps (“configurations,” “embeddings”) in IRk by interpreting the dissimilarities as distances. Two frequent sources of dissimilarities are high-dimensional data and graphs. When the dissimilarities are distances between high-dimensional objects, MDS acts as a (often nonlinear) dimension-reduction technique. When the dissimilarities are shortest-path distances in a graph, MDS acts as a graph layout technique. MDS has found recent attention in machine learning motivated by image databases (“Isomap”). MDS is also of interest in view of the popularity of “kernelizing” approaches inspired by Support Vector Machines (SVMs; “kernel PCA”). This article discusses the following general topics: (1) the stability and multiplicity of MDS solutions; (2) the analysis of structure within and between subsets of objects with missing value schemes in dissimilarity matrices; (3) gradient descent for optimizing general MDS loss functions (“Strain” and “Stress”); (4) a unification of classical (Strain-based) and distance (Stress-based) MDS. Particular topics include the following: (1) blending of automatic optimization with interactive displacement of configuration points to assist in the search for global optima; (2) forming groups of objects with interactive brushing to create patterned missing values in MDS loss functions; (3) optimizing MDS loss functions for large numbers of objects relative to a small set of anchor points (“external unfolding”); and (4) a non-metric version of classical MDS. We show applications to the mapping of computer usage data, to the dimension reduction of marketing segmentation data, to the layout of mathematical graphs and social networks, and finally to the spatial reconstruction of molecules.","container-title":"Journal of Computational and Graphical Statistics","DOI":"10.1198/106186008X318440","ISSN":"1061-8600","issue":"2","note":"publisher: ASA Website\n_eprint: https://doi.org/10.1198/106186008X318440","page":"444-472","source":"Taylor and Francis+NEJM","title":"Data Visualization With Multidimensional Scaling","URL":"https://doi.org/10.1198/106186008X318440","volume":"17","author":[{"family":"Buja","given":"Andreas"},{"family":"Swayne","given":"Deborah F"},{"family":"Littman","given":"Michael L"},{"family":"Dean","given":"Nathaniel"},{"family":"Hofmann","given":"Heike"},{"family":"Chen","given":"Lisha"}],"accessed":{"date-parts":[["2024",9,3]]},"issued":{"date-parts":[["2008",6,1]]}},"locator":"447-48","label":"page"}],"schema":"https://github.com/citation-style-language/schema/raw/master/csl-citation.json"} </w:instrText>
      </w:r>
      <w:r>
        <w:fldChar w:fldCharType="separate"/>
      </w:r>
      <w:r w:rsidRPr="00DC1897">
        <w:rPr>
          <w:rFonts w:ascii="Aptos" w:hAnsi="Aptos" w:cs="Times New Roman"/>
          <w:kern w:val="0"/>
          <w:lang w:val="hu-HU"/>
        </w:rPr>
        <w:t xml:space="preserve">Andreas Buja et al., ‘Data Visualization With Multidimensional Scaling’, </w:t>
      </w:r>
      <w:r w:rsidRPr="00DC1897">
        <w:rPr>
          <w:rFonts w:ascii="Aptos" w:hAnsi="Aptos" w:cs="Times New Roman"/>
          <w:i/>
          <w:iCs/>
          <w:kern w:val="0"/>
          <w:lang w:val="hu-HU"/>
        </w:rPr>
        <w:t>Journal of Computational and Graphical Statistics</w:t>
      </w:r>
      <w:r w:rsidRPr="00DC1897">
        <w:rPr>
          <w:rFonts w:ascii="Aptos" w:hAnsi="Aptos" w:cs="Times New Roman"/>
          <w:kern w:val="0"/>
          <w:lang w:val="hu-HU"/>
        </w:rPr>
        <w:t xml:space="preserve"> 17, no. 2 (1 June 2008): 447–48, https://doi.org/10.1198/106186008X318440.</w:t>
      </w:r>
      <w:r>
        <w:fldChar w:fldCharType="end"/>
      </w:r>
    </w:p>
  </w:footnote>
  <w:footnote w:id="20">
    <w:p w14:paraId="2DADB380" w14:textId="0134CD8F" w:rsidR="00105B9A" w:rsidRPr="00105B9A" w:rsidRDefault="00105B9A">
      <w:pPr>
        <w:pStyle w:val="FootnoteText"/>
        <w:rPr>
          <w:lang w:val="hu-HU"/>
        </w:rPr>
      </w:pPr>
      <w:r>
        <w:rPr>
          <w:rStyle w:val="FootnoteReference"/>
        </w:rPr>
        <w:footnoteRef/>
      </w:r>
      <w:r w:rsidRPr="00FB42DA">
        <w:rPr>
          <w:lang w:val="hu-HU"/>
        </w:rPr>
        <w:t xml:space="preserve"> </w:t>
      </w:r>
      <w:r>
        <w:fldChar w:fldCharType="begin"/>
      </w:r>
      <w:r w:rsidRPr="00FB42DA">
        <w:rPr>
          <w:lang w:val="hu-HU"/>
        </w:rPr>
        <w:instrText xml:space="preserve"> ADDIN ZOTERO_ITEM CSL_CITATION {"citationID":"3wjzf9ug","properties":{"formattedCitation":"Buja et al., 445\\uc0\\u8211{}46.","plainCitation":"Buja et al., 445–46.","noteIndex":20},"citationItems":[{"id":1416,"uris":["http://zotero.org/users/6994247/items/N9FCVRKH"],"itemData":{"id":1416,"type":"article-journal","abstract":"We discuss methodology for multidimensional scaling (MDS) and its implementation in two software systems, GGvis and XGvis. MDS is a visualization technique for proximity data, that is, data in the form of N × N dissimilarity matrices. MDS constructs maps (“configurations,” “embeddings”) in IRk by interpreting the dissimilarities as distances. Two frequent sources of dissimilarities are high-dimensional data and graphs. When the dissimilarities are distances between high-dimensional objects, MDS acts as a (often nonlinear) dimension-reduction technique. When the dissimilarities are shortest-path distances in a graph, MDS acts as a graph layout technique. MDS has found recent attention in machine learning motivated by image databases (“Isomap”). MDS is also of interest in view of the popularity of “kernelizing” approaches inspired by Support Vector Machines (SVMs; “kernel PCA”). This article discusses the following general topics: (1) the stability and multiplicity of MDS solutions; (2) the analysis of structure within and between subsets of objects with missing value schemes in dissimilarity matrices; (3) gradient descent for optimizing general MDS loss functions (“Strain” and “Stress”); (4) a unification of classical (Strain-based) and distance (Stress-based) MDS. Particular topics include the following: (1) blending of automatic optimization with interactive displacement of configuration points to assist in the search for global optima; (2) forming groups of objects with interactive brushing to create patterned missing values in MDS loss functions; (3) optimizing MDS loss functions for large numbers of objects relative to a small set of anchor points (“external unfolding”); and (4) a non-metric version of classical MDS. We show applications to the mapping of computer usage data, to the dimension reduction of marketing segmentation data, to the layout of mathematical graphs and social networks, and finally to the spatial reconstruction of molecules.","container-title":"Journal of Computational and Graphical Statistics","DOI":"10.1198/106186008X318440","ISSN":"1061-8600","issue":"2","note":"publisher: ASA Website\n_eprint: https://doi.org/10.1198/106186008X318440","page":"444-472","source":"Taylor and Francis+NEJM","title":"Data Visualization With Multidimensional Scaling","URL":"https://doi.org/10.1198/106186008X318440","volume":"17","author":[{"family":"Buja","given":"Andreas"},{"family":"Swayne","given":"Deborah F"},{"family":"Littman","given":"Michael L"},{"family":"Dean","given":"Nathaniel"},{"family":"Hofmann","given":"Heike"},{"family":"Chen","given":"Lisha"}],"accessed":{"date-parts":[["2024",9,3]]},"issued":{"date-parts":[["2008",6,1]]}},"locator":"445-46","label":"page"}],"schema":"https://github.com/citation-style-language/schema/raw/master/csl-citation.json"} </w:instrText>
      </w:r>
      <w:r>
        <w:fldChar w:fldCharType="separate"/>
      </w:r>
      <w:r w:rsidRPr="00FB42DA">
        <w:rPr>
          <w:rFonts w:ascii="Aptos" w:hAnsi="Aptos" w:cs="Times New Roman"/>
          <w:kern w:val="0"/>
          <w:lang w:val="hu-HU"/>
        </w:rPr>
        <w:t>Buja et al., 445–46.</w:t>
      </w:r>
      <w:r>
        <w:fldChar w:fldCharType="end"/>
      </w:r>
    </w:p>
  </w:footnote>
  <w:footnote w:id="21">
    <w:p w14:paraId="05894427" w14:textId="3466B717" w:rsidR="00105B9A" w:rsidRPr="00105B9A" w:rsidRDefault="00105B9A">
      <w:pPr>
        <w:pStyle w:val="FootnoteText"/>
        <w:rPr>
          <w:lang w:val="hu-HU"/>
        </w:rPr>
      </w:pPr>
      <w:r>
        <w:rPr>
          <w:rStyle w:val="FootnoteReference"/>
        </w:rPr>
        <w:footnoteRef/>
      </w:r>
      <w:r w:rsidRPr="00FB42DA">
        <w:rPr>
          <w:lang w:val="hu-HU"/>
        </w:rPr>
        <w:t xml:space="preserve"> </w:t>
      </w:r>
      <w:r>
        <w:fldChar w:fldCharType="begin"/>
      </w:r>
      <w:r w:rsidRPr="00FB42DA">
        <w:rPr>
          <w:lang w:val="hu-HU"/>
        </w:rPr>
        <w:instrText xml:space="preserve"> ADDIN ZOTERO_ITEM CSL_CITATION {"citationID":"sfgdXSIs","properties":{"formattedCitation":"J. B. Kruskal, \\uc0\\u8216{}Multidimensional Scaling by Optimizing Goodness of Fit to a Nonmetric Hypothesis\\uc0\\u8217{}, {\\i{}Psychometrika} 29, no. 1 (1 March 1964): 1\\uc0\\u8211{}27, https://doi.org/10.1007/BF02289565.","plainCitation":"J. B. Kruskal, ‘Multidimensional Scaling by Optimizing Goodness of Fit to a Nonmetric Hypothesis’, Psychometrika 29, no. 1 (1 March 1964): 1–27, https://doi.org/10.1007/BF02289565.","noteIndex":21},"citationItems":[{"id":1446,"uris":["http://zotero.org/users/6994247/items/ENINRTNG"],"itemData":{"id":1446,"type":"article-journal","abstract":"Multidimensional scaling is the problem of representingn objects geometrically byn points, so that the interpoint distances correspond in some sense to experimental dissimilarities between objects. In just what sense distances and dissimilarities should correspond has been left rather vague in most approaches, thus leaving these approaches logically incomplete. Our fundamental hypothesis is that dissimilarities and distances are monotonically related. We define a quantitative, intuitively satisfying measure of goodness of fit to this hypothesis. Our technique of multidimensional scaling is to compute that configuration of points which optimizes the goodness of fit. A practical computer program for doing the calculations is described in a companion paper.","container-title":"Psychometrika","DOI":"10.1007/BF02289565","ISSN":"1860-0980","issue":"1","journalAbbreviation":"Psychometrika","language":"en","page":"1-27","source":"Springer Link","title":"Multidimensional scaling by optimizing goodness of fit to a nonmetric hypothesis","URL":"https://doi.org/10.1007/BF02289565","volume":"29","author":[{"family":"Kruskal","given":"J. B."}],"accessed":{"date-parts":[["2024",9,5]]},"issued":{"date-parts":[["1964",3,1]]}}}],"schema":"https://github.com/citation-style-language/schema/raw/master/csl-citation.json"} </w:instrText>
      </w:r>
      <w:r>
        <w:fldChar w:fldCharType="separate"/>
      </w:r>
      <w:r w:rsidRPr="00FB42DA">
        <w:rPr>
          <w:rFonts w:ascii="Aptos" w:hAnsi="Aptos" w:cs="Times New Roman"/>
          <w:kern w:val="0"/>
          <w:lang w:val="hu-HU"/>
        </w:rPr>
        <w:t xml:space="preserve">J. B. Kruskal, ‘Multidimensional Scaling by Optimizing Goodness of Fit to a Nonmetric Hypothesis’, </w:t>
      </w:r>
      <w:r w:rsidRPr="00FB42DA">
        <w:rPr>
          <w:rFonts w:ascii="Aptos" w:hAnsi="Aptos" w:cs="Times New Roman"/>
          <w:i/>
          <w:iCs/>
          <w:kern w:val="0"/>
          <w:lang w:val="hu-HU"/>
        </w:rPr>
        <w:t>Psychometrika</w:t>
      </w:r>
      <w:r w:rsidRPr="00FB42DA">
        <w:rPr>
          <w:rFonts w:ascii="Aptos" w:hAnsi="Aptos" w:cs="Times New Roman"/>
          <w:kern w:val="0"/>
          <w:lang w:val="hu-HU"/>
        </w:rPr>
        <w:t xml:space="preserve"> 29, no. 1 (1 March 1964): 1–27, https://doi.org/10.1007/BF02289565.</w:t>
      </w:r>
      <w:r>
        <w:fldChar w:fldCharType="end"/>
      </w:r>
    </w:p>
  </w:footnote>
  <w:footnote w:id="22">
    <w:p w14:paraId="024B5CB6" w14:textId="5BB37CD2" w:rsidR="002D73B8" w:rsidRPr="002D73B8" w:rsidRDefault="002D73B8">
      <w:pPr>
        <w:pStyle w:val="FootnoteText"/>
        <w:rPr>
          <w:lang w:val="hu-HU"/>
        </w:rPr>
      </w:pPr>
      <w:r>
        <w:rPr>
          <w:rStyle w:val="FootnoteReference"/>
        </w:rPr>
        <w:footnoteRef/>
      </w:r>
      <w:r>
        <w:t xml:space="preserve"> </w:t>
      </w:r>
      <w:r>
        <w:fldChar w:fldCharType="begin"/>
      </w:r>
      <w:r>
        <w:instrText xml:space="preserve"> ADDIN ZOTERO_ITEM CSL_CITATION {"citationID":"211CnWs8","properties":{"formattedCitation":"Joseph B.Kruskal and Myron Wish, {\\i{}Multidimensional Scaling} (SAGE Publications, Inc., 1978), https://doi.org/10.4135/9781412985130.","plainCitation":"Joseph B.Kruskal and Myron Wish, Multidimensional Scaling (SAGE Publications, Inc., 1978), https://doi.org/10.4135/9781412985130.","noteIndex":22},"citationItems":[{"id":1448,"uris":["http://zotero.org/users/6994247/items/TV7DN47U"],"itemData":{"id":1448,"type":"book","abstract":"&lt;p&gt;Outlines a set of techniques that enables a researcher to explore the hidden structure of large databases. These techniques use proximities to find a configu","ISBN":"978-1-4129-8513-0","language":"en","note":"DOI: 10.4135/9781412985130","publisher":"SAGE Publications, Inc.","source":"methods.sagepub.com","title":"Multidimensional Scaling","URL":"https://methods.sagepub.com/book/multidimensional-scaling","author":[{"family":"B.Kruskal","given":"Joseph"},{"family":"Wish","given":"Myron"}],"accessed":{"date-parts":[["2024",9,5]]},"issued":{"date-parts":[["1978"]]}}}],"schema":"https://github.com/citation-style-language/schema/raw/master/csl-citation.json"} </w:instrText>
      </w:r>
      <w:r>
        <w:fldChar w:fldCharType="separate"/>
      </w:r>
      <w:r w:rsidRPr="002D73B8">
        <w:rPr>
          <w:rFonts w:ascii="Aptos" w:hAnsi="Aptos" w:cs="Times New Roman"/>
          <w:kern w:val="0"/>
        </w:rPr>
        <w:t xml:space="preserve">Joseph B.Kruskal and Myron Wish, </w:t>
      </w:r>
      <w:r w:rsidRPr="002D73B8">
        <w:rPr>
          <w:rFonts w:ascii="Aptos" w:hAnsi="Aptos" w:cs="Times New Roman"/>
          <w:i/>
          <w:iCs/>
          <w:kern w:val="0"/>
        </w:rPr>
        <w:t>Multidimensional Scaling</w:t>
      </w:r>
      <w:r w:rsidRPr="002D73B8">
        <w:rPr>
          <w:rFonts w:ascii="Aptos" w:hAnsi="Aptos" w:cs="Times New Roman"/>
          <w:kern w:val="0"/>
        </w:rPr>
        <w:t xml:space="preserve"> (SAGE Publications, Inc., 1978), https://doi.org/10.4135/9781412985130.</w:t>
      </w:r>
      <w:r>
        <w:fldChar w:fldCharType="end"/>
      </w:r>
    </w:p>
  </w:footnote>
  <w:footnote w:id="23">
    <w:p w14:paraId="11FFA7DC" w14:textId="6D1FE729" w:rsidR="00A032A0" w:rsidRPr="00A032A0" w:rsidRDefault="00A032A0">
      <w:pPr>
        <w:pStyle w:val="FootnoteText"/>
        <w:rPr>
          <w:lang w:val="hu-HU"/>
        </w:rPr>
      </w:pPr>
      <w:r>
        <w:rPr>
          <w:rStyle w:val="FootnoteReference"/>
        </w:rPr>
        <w:footnoteRef/>
      </w:r>
      <w:r w:rsidRPr="00A032A0">
        <w:rPr>
          <w:lang w:val="hu-HU"/>
        </w:rPr>
        <w:t xml:space="preserve"> </w:t>
      </w:r>
      <w:r>
        <w:fldChar w:fldCharType="begin"/>
      </w:r>
      <w:r w:rsidRPr="00A032A0">
        <w:rPr>
          <w:lang w:val="hu-HU"/>
        </w:rPr>
        <w:instrText xml:space="preserve"> ADDIN ZOTERO_ITEM CSL_CITATION {"citationID":"0AhRg71E","properties":{"formattedCitation":"Buja et al., \\uc0\\u8216{}Data Visualization With Multidimensional Scaling\\uc0\\u8217{}, 446.","plainCitation":"Buja et al., ‘Data Visualization With Multidimensional Scaling’, 446.","noteIndex":23},"citationItems":[{"id":1416,"uris":["http://zotero.org/users/6994247/items/N9FCVRKH"],"itemData":{"id":1416,"type":"article-journal","abstract":"We discuss methodology for multidimensional scaling (MDS) and its implementation in two software systems, GGvis and XGvis. MDS is a visualization technique for proximity data, that is, data in the form of N × N dissimilarity matrices. MDS constructs maps (“configurations,” “embeddings”) in IRk by interpreting the dissimilarities as distances. Two frequent sources of dissimilarities are high-dimensional data and graphs. When the dissimilarities are distances between high-dimensional objects, MDS acts as a (often nonlinear) dimension-reduction technique. When the dissimilarities are shortest-path distances in a graph, MDS acts as a graph layout technique. MDS has found recent attention in machine learning motivated by image databases (“Isomap”). MDS is also of interest in view of the popularity of “kernelizing” approaches inspired by Support Vector Machines (SVMs; “kernel PCA”). This article discusses the following general topics: (1) the stability and multiplicity of MDS solutions; (2) the analysis of structure within and between subsets of objects with missing value schemes in dissimilarity matrices; (3) gradient descent for optimizing general MDS loss functions (“Strain” and “Stress”); (4) a unification of classical (Strain-based) and distance (Stress-based) MDS. Particular topics include the following: (1) blending of automatic optimization with interactive displacement of configuration points to assist in the search for global optima; (2) forming groups of objects with interactive brushing to create patterned missing values in MDS loss functions; (3) optimizing MDS loss functions for large numbers of objects relative to a small set of anchor points (“external unfolding”); and (4) a non-metric version of classical MDS. We show applications to the mapping of computer usage data, to the dimension reduction of marketing segmentation data, to the layout of mathematical graphs and social networks, and finally to the spatial reconstruction of molecules.","container-title":"Journal of Computational and Graphical Statistics","DOI":"10.1198/106186008X318440","ISSN":"1061-8600","issue":"2","note":"publisher: ASA Website\n_eprint: https://doi.org/10.1198/106186008X318440","page":"444-472","source":"Taylor and Francis+NEJM","title":"Data Visualization With Multidimensional Scaling","URL":"https://doi.org/10.1198/106186008X318440","volume":"17","author":[{"family":"Buja","given":"Andreas"},{"family":"Swayne","given":"Deborah F"},{"family":"Littman","given":"Michael L"},{"family":"Dean","given":"Nathaniel"},{"family":"Hofmann","given":"Heike"},{"family":"Chen","given":"Lisha"}],"accessed":{"date-parts":[["2024",9,3]]},"issued":{"date-parts":[["2008",6,1]]}},"locator":"446","label":"page"}],"schema":"https://github.com/citation-style-language/schema/raw/master/csl-citation.json"} </w:instrText>
      </w:r>
      <w:r>
        <w:fldChar w:fldCharType="separate"/>
      </w:r>
      <w:r w:rsidRPr="00A032A0">
        <w:rPr>
          <w:rFonts w:ascii="Aptos" w:hAnsi="Aptos" w:cs="Times New Roman"/>
          <w:kern w:val="0"/>
          <w:lang w:val="hu-HU"/>
        </w:rPr>
        <w:t>Buja et al., ‘Data Visualization With Multidimensional Scaling’, 446.</w:t>
      </w:r>
      <w:r>
        <w:fldChar w:fldCharType="end"/>
      </w:r>
    </w:p>
  </w:footnote>
  <w:footnote w:id="24">
    <w:p w14:paraId="145DF501" w14:textId="0C1D08CE" w:rsidR="00536191" w:rsidRPr="00536191" w:rsidRDefault="00536191">
      <w:pPr>
        <w:pStyle w:val="FootnoteText"/>
        <w:rPr>
          <w:lang w:val="hu-HU"/>
        </w:rPr>
      </w:pPr>
      <w:r>
        <w:rPr>
          <w:rStyle w:val="FootnoteReference"/>
        </w:rPr>
        <w:footnoteRef/>
      </w:r>
      <w:r>
        <w:t xml:space="preserve"> </w:t>
      </w:r>
      <w:r>
        <w:fldChar w:fldCharType="begin"/>
      </w:r>
      <w:r>
        <w:instrText xml:space="preserve"> ADDIN ZOTERO_ITEM CSL_CITATION {"citationID":"sVBsNgBS","properties":{"formattedCitation":"Kruskal, \\uc0\\u8216{}Multidimensional Scaling by Optimizing Goodness of Fit to a Nonmetric Hypothesis\\uc0\\u8217{}, 16.","plainCitation":"Kruskal, ‘Multidimensional Scaling by Optimizing Goodness of Fit to a Nonmetric Hypothesis’, 16.","noteIndex":24},"citationItems":[{"id":1446,"uris":["http://zotero.org/users/6994247/items/ENINRTNG"],"itemData":{"id":1446,"type":"article-journal","abstract":"Multidimensional scaling is the problem of representingn objects geometrically byn points, so that the interpoint distances correspond in some sense to experimental dissimilarities between objects. In just what sense distances and dissimilarities should correspond has been left rather vague in most approaches, thus leaving these approaches logically incomplete. Our fundamental hypothesis is that dissimilarities and distances are monotonically related. We define a quantitative, intuitively satisfying measure of goodness of fit to this hypothesis. Our technique of multidimensional scaling is to compute that configuration of points which optimizes the goodness of fit. A practical computer program for doing the calculations is described in a companion paper.","container-title":"Psychometrika","DOI":"10.1007/BF02289565","ISSN":"1860-0980","issue":"1","journalAbbreviation":"Psychometrika","language":"en","page":"1-27","source":"Springer Link","title":"Multidimensional scaling by optimizing goodness of fit to a nonmetric hypothesis","URL":"https://doi.org/10.1007/BF02289565","volume":"29","author":[{"family":"Kruskal","given":"J. B."}],"accessed":{"date-parts":[["2024",9,5]]},"issued":{"date-parts":[["1964",3,1]]}},"locator":"16","label":"page"}],"schema":"https://github.com/citation-style-language/schema/raw/master/csl-citation.json"} </w:instrText>
      </w:r>
      <w:r>
        <w:fldChar w:fldCharType="separate"/>
      </w:r>
      <w:r w:rsidRPr="00536191">
        <w:rPr>
          <w:rFonts w:ascii="Aptos" w:hAnsi="Aptos" w:cs="Times New Roman"/>
          <w:kern w:val="0"/>
        </w:rPr>
        <w:t>Kruskal, ‘Multidimensional Scaling by Optimizing Goodness of Fit to a Nonmetric Hypothesis’, 16.</w:t>
      </w:r>
      <w:r>
        <w:fldChar w:fldCharType="end"/>
      </w:r>
    </w:p>
  </w:footnote>
  <w:footnote w:id="25">
    <w:p w14:paraId="21D5DE78" w14:textId="3B3F3312" w:rsidR="009F1F8F" w:rsidRPr="009F1F8F" w:rsidRDefault="009F1F8F">
      <w:pPr>
        <w:pStyle w:val="FootnoteText"/>
        <w:rPr>
          <w:lang w:val="hu-HU"/>
        </w:rPr>
      </w:pPr>
      <w:r>
        <w:rPr>
          <w:rStyle w:val="FootnoteReference"/>
        </w:rPr>
        <w:footnoteRef/>
      </w:r>
      <w:r>
        <w:t xml:space="preserve"> </w:t>
      </w:r>
      <w:r>
        <w:fldChar w:fldCharType="begin"/>
      </w:r>
      <w:r>
        <w:instrText xml:space="preserve"> ADDIN ZOTERO_ITEM CSL_CITATION {"citationID":"KWLTPrgY","properties":{"formattedCitation":"George B. Rabinowitz, \\uc0\\u8216{}An Introduction to Nonmetric Multidimensional Scaling\\uc0\\u8217{}, {\\i{}American Journal of Political Science} 19, no. 2 (1975): 369, https://doi.org/10.2307/2110441.","plainCitation":"George B. Rabinowitz, ‘An Introduction to Nonmetric Multidimensional Scaling’, American Journal of Political Science 19, no. 2 (1975): 369, https://doi.org/10.2307/2110441.","noteIndex":25},"citationItems":[{"id":1450,"uris":["http://zotero.org/users/6994247/items/GUAKWI4I"],"itemData":{"id":1450,"type":"article-journal","abstract":"Nonmetric multidimensional scaling methods are useful for spatially representing the interrelationships among a set of data objects. In this, they are similar to factor analytic methods. The assumptions and procedures associated with these methods are, however, somewhat different from those associated with factor analysis, and are more appropriate to certain political data. In this paper the logic underlying nonmetric multidimensional scaling methods is described, and some guides for using these procedures are offered.","container-title":"American Journal of Political Science","DOI":"10.2307/2110441","ISSN":"0092-5853","issue":"2","note":"publisher: [Midwest Political Science Association, Wiley]","page":"343-390","source":"JSTOR","title":"An Introduction to Nonmetric Multidimensional Scaling","URL":"https://www.jstor.org/stable/2110441","volume":"19","author":[{"family":"Rabinowitz","given":"George B."}],"accessed":{"date-parts":[["2024",9,5]]},"issued":{"date-parts":[["1975"]]}},"locator":"369","label":"page"}],"schema":"https://github.com/citation-style-language/schema/raw/master/csl-citation.json"} </w:instrText>
      </w:r>
      <w:r>
        <w:fldChar w:fldCharType="separate"/>
      </w:r>
      <w:r w:rsidRPr="009F1F8F">
        <w:rPr>
          <w:rFonts w:ascii="Aptos" w:hAnsi="Aptos" w:cs="Times New Roman"/>
          <w:kern w:val="0"/>
        </w:rPr>
        <w:t xml:space="preserve">George B. Rabinowitz, ‘An Introduction to Nonmetric Multidimensional Scaling’, </w:t>
      </w:r>
      <w:r w:rsidRPr="009F1F8F">
        <w:rPr>
          <w:rFonts w:ascii="Aptos" w:hAnsi="Aptos" w:cs="Times New Roman"/>
          <w:i/>
          <w:iCs/>
          <w:kern w:val="0"/>
        </w:rPr>
        <w:t>American Journal of Political Science</w:t>
      </w:r>
      <w:r w:rsidRPr="009F1F8F">
        <w:rPr>
          <w:rFonts w:ascii="Aptos" w:hAnsi="Aptos" w:cs="Times New Roman"/>
          <w:kern w:val="0"/>
        </w:rPr>
        <w:t xml:space="preserve"> 19, no. 2 (1975): 369, https://doi.org/10.2307/2110441.</w:t>
      </w:r>
      <w:r>
        <w:fldChar w:fldCharType="end"/>
      </w:r>
    </w:p>
  </w:footnote>
  <w:footnote w:id="26">
    <w:p w14:paraId="6FEC1CD6" w14:textId="694DFA87" w:rsidR="00AA4205" w:rsidRPr="00AA4205" w:rsidRDefault="00AA4205">
      <w:pPr>
        <w:pStyle w:val="FootnoteText"/>
        <w:rPr>
          <w:lang w:val="hu-HU"/>
        </w:rPr>
      </w:pPr>
      <w:r>
        <w:rPr>
          <w:rStyle w:val="FootnoteReference"/>
        </w:rPr>
        <w:footnoteRef/>
      </w:r>
      <w:r w:rsidRPr="00AA4205">
        <w:rPr>
          <w:lang w:val="hu-HU"/>
        </w:rPr>
        <w:t xml:space="preserve"> </w:t>
      </w:r>
      <w:r>
        <w:fldChar w:fldCharType="begin"/>
      </w:r>
      <w:r w:rsidRPr="00AA4205">
        <w:rPr>
          <w:lang w:val="hu-HU"/>
        </w:rPr>
        <w:instrText xml:space="preserve"> ADDIN ZOTERO_ITEM CSL_CITATION {"citationID":"Hq0IbcKB","properties":{"formattedCitation":"Ant\\uc0\\u243{}nio M. Lopes et al., \\uc0\\u8216{}Multidimensional Scaling Visualization of Earthquake Phenomena\\uc0\\u8217{}, {\\i{}Journal of Seismology} 18, no. 1 (1 January 2014): 163\\uc0\\u8211{}79, https://doi.org/10.1007/s10950-013-9409-9.","plainCitation":"António M. Lopes et al., ‘Multidimensional Scaling Visualization of Earthquake Phenomena’, Journal of Seismology 18, no. 1 (1 January 2014): 163–79, https://doi.org/10.1007/s10950-013-9409-9.","noteIndex":26},"citationItems":[{"id":1425,"uris":["http://zotero.org/users/6994247/items/5VAAW5DM"],"itemData":{"id":1425,"type":"article-journal","abstract":"Earthquakes are associated with negative events, such as large number of casualties, destruction of buildings and infrastructures, or emergence of tsunamis. In this paper, we apply the Multidimensional Scaling (MDS) analysis to earthquake data. MDS is a set of techniques that produce spatial or geometric representations of complex objects, such that, objects perceived to be similar/distinct in some sense are placed nearby/distant on the MDS maps. The interpretation of the charts is based on the resulting clusters since MDS produces a different locus for each similarity measure. In this study, over three million seismic occurrences, covering the period from January 1, 1904 up to March 14, 2012 are analyzed. The events, characterized by their magnitude and spatiotemporal distributions, are divided into groups, either according to the Flinn–Engdahl seismic regions of Earth or using a rectangular grid based in latitude and longitude coordinates. Space-time and Space-frequency correlation indices are proposed to quantify the similarities among events. MDS has the advantage of avoiding sensitivity to the non-uniform spatial distribution of seismic data, resulting from poorly instrumented areas, and is well suited for accessing dynamics of complex systems. MDS maps are proven as an intuitive and useful visual representation of the complex relationships that are present among seismic events, which may not be perceived on traditional geographic maps. Therefore, MDS constitutes a valid alternative to classic visualization tools, for understanding the global behavior of earthquakes.","container-title":"Journal of Seismology","DOI":"10.1007/s10950-013-9409-9","ISSN":"1573-157X","issue":"1","journalAbbreviation":"J Seismol","language":"en","page":"163-179","source":"Springer Link","title":"Multidimensional scaling visualization of earthquake phenomena","URL":"https://doi.org/10.1007/s10950-013-9409-9","volume":"18","author":[{"family":"Lopes","given":"António M."},{"family":"Machado","given":"J. A. Tenreiro"},{"family":"Pinto","given":"C. M. A."},{"family":"Galhano","given":"A. M. S. F."}],"accessed":{"date-parts":[["2024",9,3]]},"issued":{"date-parts":[["2014",1,1]]}}}],"schema":"https://github.com/citation-style-language/schema/raw/master/csl-citation.json"} </w:instrText>
      </w:r>
      <w:r>
        <w:fldChar w:fldCharType="separate"/>
      </w:r>
      <w:r w:rsidRPr="00AA4205">
        <w:rPr>
          <w:rFonts w:ascii="Aptos" w:hAnsi="Aptos" w:cs="Times New Roman"/>
          <w:kern w:val="0"/>
          <w:lang w:val="hu-HU"/>
        </w:rPr>
        <w:t xml:space="preserve">António M. Lopes et al., ‘Multidimensional Scaling Visualization of Earthquake Phenomena’, </w:t>
      </w:r>
      <w:r w:rsidRPr="00AA4205">
        <w:rPr>
          <w:rFonts w:ascii="Aptos" w:hAnsi="Aptos" w:cs="Times New Roman"/>
          <w:i/>
          <w:iCs/>
          <w:kern w:val="0"/>
          <w:lang w:val="hu-HU"/>
        </w:rPr>
        <w:t>Journal of Seismology</w:t>
      </w:r>
      <w:r w:rsidRPr="00AA4205">
        <w:rPr>
          <w:rFonts w:ascii="Aptos" w:hAnsi="Aptos" w:cs="Times New Roman"/>
          <w:kern w:val="0"/>
          <w:lang w:val="hu-HU"/>
        </w:rPr>
        <w:t xml:space="preserve"> 18, no. 1 (1 January 2014): 163–79, https://doi.org/10.1007/s10950-013-9409-9.</w:t>
      </w:r>
      <w:r>
        <w:fldChar w:fldCharType="end"/>
      </w:r>
    </w:p>
  </w:footnote>
  <w:footnote w:id="27">
    <w:p w14:paraId="43E4DF65" w14:textId="75F71F3D" w:rsidR="00851FA0" w:rsidRPr="00851FA0" w:rsidRDefault="00851FA0">
      <w:pPr>
        <w:pStyle w:val="FootnoteText"/>
        <w:rPr>
          <w:lang w:val="hu-HU"/>
        </w:rPr>
      </w:pPr>
      <w:r>
        <w:rPr>
          <w:rStyle w:val="FootnoteReference"/>
        </w:rPr>
        <w:footnoteRef/>
      </w:r>
      <w:r w:rsidRPr="00851FA0">
        <w:rPr>
          <w:lang w:val="hu-HU"/>
        </w:rPr>
        <w:t xml:space="preserve"> </w:t>
      </w:r>
      <w:r>
        <w:fldChar w:fldCharType="begin"/>
      </w:r>
      <w:r w:rsidRPr="00851FA0">
        <w:rPr>
          <w:lang w:val="hu-HU"/>
        </w:rPr>
        <w:instrText xml:space="preserve"> ADDIN ZOTERO_ITEM CSL_CITATION {"citationID":"BjtKfRdu","properties":{"formattedCitation":"W. Dzwinel et al., \\uc0\\u8216{}Nonlinear Multidimensional Scaling and Visualization of Earthquake Clusters over Space, Time and Feature Space\\uc0\\u8217{}, {\\i{}Nonlinear Processes in Geophysics} 12, no. 1 (28 January 2005): 117\\uc0\\u8211{}28, https://doi.org/10.5194/npg-12-117-2005.","plainCitation":"W. Dzwinel et al., ‘Nonlinear Multidimensional Scaling and Visualization of Earthquake Clusters over Space, Time and Feature Space’, Nonlinear Processes in Geophysics 12, no. 1 (28 January 2005): 117–28, https://doi.org/10.5194/npg-12-117-2005.","noteIndex":27},"citationItems":[{"id":1427,"uris":["http://zotero.org/users/6994247/items/WKSGN66A"],"itemData":{"id":1427,"type":"article-journal","abstract":"We present a novel technique based on a multi-resolutional clustering and nonlinear multi-dimensional scaling of earthquake patterns to investigate observed and synthetic seismic catalogs. The observed data represent seismic activities around the Japanese islands during 1997-2003. The synthetic data were generated by numerical simulations for various cases of a heterogeneous fault governed by 3-D elastic dislocation and power-law creep. At the highest resolution, we analyze the local cluster structures in the data space of seismic events for the two types of catalogs by using an agglomerative clustering algorithm. We demonstrate that small magnitude events produce local spatio-temporal patches delineating neighboring large events. Seismic events, quantized in space and time, generate the multi-dimensional feature space characterized by the earthquake parameters. Using a non-hierarchical clustering algorithm and nonlinear multi-dimensional scaling, we explore the multitudinous earthquakes by real-time 3-D visualization and inspection of the multivariate clusters. At the spatial resolutions characteristic of the earthquake parameters, all of the ongoing seismicity both before and after the largest events accumulates to a global structure consisting of a few separate clusters in the feature space. We show that by combining the results of clustering in both low and high resolution spaces, we can recognize precursory events more precisely and unravel vital information that cannot be discerned at a single resolution.","container-title":"Nonlinear Processes in Geophysics","DOI":"10.5194/npg-12-117-2005","ISSN":"1023-5809","issue":"1","language":"English","note":"publisher: Copernicus GmbH","page":"117-128","source":"Copernicus Online Journals","title":"Nonlinear multidimensional scaling and visualization of earthquake clusters over space, time and feature space","URL":"https://npg.copernicus.org/articles/12/117/2005/","volume":"12","author":[{"family":"Dzwinel","given":"W."},{"family":"Yuen","given":"D. A."},{"family":"Boryczko","given":"K."},{"family":"Ben-Zion","given":"Y."},{"family":"Yoshioka","given":"S."},{"family":"Ito","given":"T."}],"accessed":{"date-parts":[["2024",9,3]]},"issued":{"date-parts":[["2005",1,28]]}}}],"schema":"https://github.com/citation-style-language/schema/raw/master/csl-citation.json"} </w:instrText>
      </w:r>
      <w:r>
        <w:fldChar w:fldCharType="separate"/>
      </w:r>
      <w:r w:rsidRPr="00851FA0">
        <w:rPr>
          <w:rFonts w:ascii="Aptos" w:hAnsi="Aptos" w:cs="Times New Roman"/>
          <w:kern w:val="0"/>
          <w:lang w:val="hu-HU"/>
        </w:rPr>
        <w:t xml:space="preserve">W. Dzwinel et al., ‘Nonlinear Multidimensional Scaling and Visualization of Earthquake Clusters over Space, Time and Feature Space’, </w:t>
      </w:r>
      <w:r w:rsidRPr="00851FA0">
        <w:rPr>
          <w:rFonts w:ascii="Aptos" w:hAnsi="Aptos" w:cs="Times New Roman"/>
          <w:i/>
          <w:iCs/>
          <w:kern w:val="0"/>
          <w:lang w:val="hu-HU"/>
        </w:rPr>
        <w:t>Nonlinear Processes in Geophysics</w:t>
      </w:r>
      <w:r w:rsidRPr="00851FA0">
        <w:rPr>
          <w:rFonts w:ascii="Aptos" w:hAnsi="Aptos" w:cs="Times New Roman"/>
          <w:kern w:val="0"/>
          <w:lang w:val="hu-HU"/>
        </w:rPr>
        <w:t xml:space="preserve"> 12, no. 1 (28 January 2005): 117–28, https://doi.org/10.5194/npg-12-117-2005.</w:t>
      </w:r>
      <w: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033281" w14:textId="41446C84" w:rsidR="00BE66AC" w:rsidRDefault="00BE66AC">
    <w:pPr>
      <w:pStyle w:val="Header"/>
    </w:pPr>
  </w:p>
  <w:p w14:paraId="2B495938" w14:textId="77777777" w:rsidR="00BE66AC" w:rsidRDefault="00BE66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BF45D9"/>
    <w:multiLevelType w:val="hybridMultilevel"/>
    <w:tmpl w:val="294A6E54"/>
    <w:lvl w:ilvl="0" w:tplc="418E7912">
      <w:start w:val="1"/>
      <w:numFmt w:val="upperRoman"/>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418E34DB"/>
    <w:multiLevelType w:val="hybridMultilevel"/>
    <w:tmpl w:val="F8BA9A5C"/>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1246498692">
    <w:abstractNumId w:val="1"/>
  </w:num>
  <w:num w:numId="2" w16cid:durableId="2030713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14C"/>
    <w:rsid w:val="000175FC"/>
    <w:rsid w:val="000539BD"/>
    <w:rsid w:val="000626F5"/>
    <w:rsid w:val="000B593F"/>
    <w:rsid w:val="000E4F22"/>
    <w:rsid w:val="00105B9A"/>
    <w:rsid w:val="001135C3"/>
    <w:rsid w:val="00125653"/>
    <w:rsid w:val="00137C0F"/>
    <w:rsid w:val="00160EAE"/>
    <w:rsid w:val="00171651"/>
    <w:rsid w:val="001A1723"/>
    <w:rsid w:val="001B4AF1"/>
    <w:rsid w:val="00244886"/>
    <w:rsid w:val="002456C8"/>
    <w:rsid w:val="00247D7E"/>
    <w:rsid w:val="002528FF"/>
    <w:rsid w:val="002605F2"/>
    <w:rsid w:val="0027204D"/>
    <w:rsid w:val="00280C02"/>
    <w:rsid w:val="002C2C95"/>
    <w:rsid w:val="002C35B8"/>
    <w:rsid w:val="002D73B8"/>
    <w:rsid w:val="003045E1"/>
    <w:rsid w:val="0032125B"/>
    <w:rsid w:val="003830F1"/>
    <w:rsid w:val="00391B0D"/>
    <w:rsid w:val="003F3B20"/>
    <w:rsid w:val="00413260"/>
    <w:rsid w:val="00421F1B"/>
    <w:rsid w:val="00440D5A"/>
    <w:rsid w:val="00454B86"/>
    <w:rsid w:val="00466B45"/>
    <w:rsid w:val="004B6D2D"/>
    <w:rsid w:val="004C6D20"/>
    <w:rsid w:val="004E0BCD"/>
    <w:rsid w:val="00533ACF"/>
    <w:rsid w:val="00536191"/>
    <w:rsid w:val="005449AF"/>
    <w:rsid w:val="005607F5"/>
    <w:rsid w:val="005617B5"/>
    <w:rsid w:val="00577242"/>
    <w:rsid w:val="00610D59"/>
    <w:rsid w:val="006179D0"/>
    <w:rsid w:val="00621439"/>
    <w:rsid w:val="00623EA4"/>
    <w:rsid w:val="00651523"/>
    <w:rsid w:val="0065542E"/>
    <w:rsid w:val="006760D5"/>
    <w:rsid w:val="006C1D92"/>
    <w:rsid w:val="006E0A50"/>
    <w:rsid w:val="006E6CB9"/>
    <w:rsid w:val="007636F1"/>
    <w:rsid w:val="00794762"/>
    <w:rsid w:val="007B4A3B"/>
    <w:rsid w:val="007F432C"/>
    <w:rsid w:val="00802CE7"/>
    <w:rsid w:val="008034CC"/>
    <w:rsid w:val="00851FA0"/>
    <w:rsid w:val="0088327D"/>
    <w:rsid w:val="00896334"/>
    <w:rsid w:val="008B465F"/>
    <w:rsid w:val="008C705B"/>
    <w:rsid w:val="008D34D3"/>
    <w:rsid w:val="008E095B"/>
    <w:rsid w:val="00923D42"/>
    <w:rsid w:val="00925883"/>
    <w:rsid w:val="00927EDD"/>
    <w:rsid w:val="009316CC"/>
    <w:rsid w:val="00957AF0"/>
    <w:rsid w:val="009B61BF"/>
    <w:rsid w:val="009F1F8F"/>
    <w:rsid w:val="00A000FE"/>
    <w:rsid w:val="00A032A0"/>
    <w:rsid w:val="00A10A6A"/>
    <w:rsid w:val="00A123F5"/>
    <w:rsid w:val="00A319F0"/>
    <w:rsid w:val="00A51364"/>
    <w:rsid w:val="00A677F9"/>
    <w:rsid w:val="00AA4205"/>
    <w:rsid w:val="00AB29FB"/>
    <w:rsid w:val="00AE7410"/>
    <w:rsid w:val="00B17970"/>
    <w:rsid w:val="00B17FE9"/>
    <w:rsid w:val="00B5356E"/>
    <w:rsid w:val="00B53D46"/>
    <w:rsid w:val="00B61660"/>
    <w:rsid w:val="00B6714C"/>
    <w:rsid w:val="00B72732"/>
    <w:rsid w:val="00B8082C"/>
    <w:rsid w:val="00B85832"/>
    <w:rsid w:val="00B944EC"/>
    <w:rsid w:val="00BB26D5"/>
    <w:rsid w:val="00BB2A1C"/>
    <w:rsid w:val="00BE49D3"/>
    <w:rsid w:val="00BE66AC"/>
    <w:rsid w:val="00C41311"/>
    <w:rsid w:val="00C46BFB"/>
    <w:rsid w:val="00C77187"/>
    <w:rsid w:val="00C95AA1"/>
    <w:rsid w:val="00CB28ED"/>
    <w:rsid w:val="00CB7A23"/>
    <w:rsid w:val="00CD5D08"/>
    <w:rsid w:val="00CE485A"/>
    <w:rsid w:val="00CF72C9"/>
    <w:rsid w:val="00D029B7"/>
    <w:rsid w:val="00D0437D"/>
    <w:rsid w:val="00D12601"/>
    <w:rsid w:val="00D27B81"/>
    <w:rsid w:val="00D827D4"/>
    <w:rsid w:val="00D92C1D"/>
    <w:rsid w:val="00DC1897"/>
    <w:rsid w:val="00DC61E3"/>
    <w:rsid w:val="00DD6EE0"/>
    <w:rsid w:val="00DF3016"/>
    <w:rsid w:val="00DF53C8"/>
    <w:rsid w:val="00E27FA0"/>
    <w:rsid w:val="00E70F66"/>
    <w:rsid w:val="00E75313"/>
    <w:rsid w:val="00E976C3"/>
    <w:rsid w:val="00EA0A60"/>
    <w:rsid w:val="00EA1A52"/>
    <w:rsid w:val="00EC50FD"/>
    <w:rsid w:val="00ED43E1"/>
    <w:rsid w:val="00EE4A9B"/>
    <w:rsid w:val="00EE4E28"/>
    <w:rsid w:val="00F039DF"/>
    <w:rsid w:val="00F61C9B"/>
    <w:rsid w:val="00F7402F"/>
    <w:rsid w:val="00F74E76"/>
    <w:rsid w:val="00F77531"/>
    <w:rsid w:val="00F81952"/>
    <w:rsid w:val="00F854A6"/>
    <w:rsid w:val="00FB42DA"/>
    <w:rsid w:val="00FD2D7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6AE59"/>
  <w15:chartTrackingRefBased/>
  <w15:docId w15:val="{EB6C6322-49E5-4B13-A44A-F79196538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67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1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1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1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14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B6714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6714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6714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6714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6714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6714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6714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6714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67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14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67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14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6714C"/>
    <w:pPr>
      <w:spacing w:before="160"/>
      <w:jc w:val="center"/>
    </w:pPr>
    <w:rPr>
      <w:i/>
      <w:iCs/>
      <w:color w:val="404040" w:themeColor="text1" w:themeTint="BF"/>
    </w:rPr>
  </w:style>
  <w:style w:type="character" w:customStyle="1" w:styleId="QuoteChar">
    <w:name w:val="Quote Char"/>
    <w:basedOn w:val="DefaultParagraphFont"/>
    <w:link w:val="Quote"/>
    <w:uiPriority w:val="29"/>
    <w:rsid w:val="00B6714C"/>
    <w:rPr>
      <w:i/>
      <w:iCs/>
      <w:color w:val="404040" w:themeColor="text1" w:themeTint="BF"/>
      <w:lang w:val="en-GB"/>
    </w:rPr>
  </w:style>
  <w:style w:type="paragraph" w:styleId="ListParagraph">
    <w:name w:val="List Paragraph"/>
    <w:basedOn w:val="Normal"/>
    <w:uiPriority w:val="34"/>
    <w:qFormat/>
    <w:rsid w:val="00B6714C"/>
    <w:pPr>
      <w:ind w:left="720"/>
      <w:contextualSpacing/>
    </w:pPr>
  </w:style>
  <w:style w:type="character" w:styleId="IntenseEmphasis">
    <w:name w:val="Intense Emphasis"/>
    <w:basedOn w:val="DefaultParagraphFont"/>
    <w:uiPriority w:val="21"/>
    <w:qFormat/>
    <w:rsid w:val="00B6714C"/>
    <w:rPr>
      <w:i/>
      <w:iCs/>
      <w:color w:val="0F4761" w:themeColor="accent1" w:themeShade="BF"/>
    </w:rPr>
  </w:style>
  <w:style w:type="paragraph" w:styleId="IntenseQuote">
    <w:name w:val="Intense Quote"/>
    <w:basedOn w:val="Normal"/>
    <w:next w:val="Normal"/>
    <w:link w:val="IntenseQuoteChar"/>
    <w:uiPriority w:val="30"/>
    <w:qFormat/>
    <w:rsid w:val="00B67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14C"/>
    <w:rPr>
      <w:i/>
      <w:iCs/>
      <w:color w:val="0F4761" w:themeColor="accent1" w:themeShade="BF"/>
      <w:lang w:val="en-GB"/>
    </w:rPr>
  </w:style>
  <w:style w:type="character" w:styleId="IntenseReference">
    <w:name w:val="Intense Reference"/>
    <w:basedOn w:val="DefaultParagraphFont"/>
    <w:uiPriority w:val="32"/>
    <w:qFormat/>
    <w:rsid w:val="00B6714C"/>
    <w:rPr>
      <w:b/>
      <w:bCs/>
      <w:smallCaps/>
      <w:color w:val="0F4761" w:themeColor="accent1" w:themeShade="BF"/>
      <w:spacing w:val="5"/>
    </w:rPr>
  </w:style>
  <w:style w:type="paragraph" w:styleId="Header">
    <w:name w:val="header"/>
    <w:basedOn w:val="Normal"/>
    <w:link w:val="HeaderChar"/>
    <w:uiPriority w:val="99"/>
    <w:unhideWhenUsed/>
    <w:rsid w:val="00BE66AC"/>
    <w:pPr>
      <w:tabs>
        <w:tab w:val="center" w:pos="4536"/>
        <w:tab w:val="right" w:pos="9072"/>
      </w:tabs>
      <w:spacing w:after="0" w:line="240" w:lineRule="auto"/>
    </w:pPr>
  </w:style>
  <w:style w:type="character" w:customStyle="1" w:styleId="HeaderChar">
    <w:name w:val="Header Char"/>
    <w:basedOn w:val="DefaultParagraphFont"/>
    <w:link w:val="Header"/>
    <w:uiPriority w:val="99"/>
    <w:rsid w:val="00BE66AC"/>
    <w:rPr>
      <w:lang w:val="en-GB"/>
    </w:rPr>
  </w:style>
  <w:style w:type="paragraph" w:styleId="Footer">
    <w:name w:val="footer"/>
    <w:basedOn w:val="Normal"/>
    <w:link w:val="FooterChar"/>
    <w:uiPriority w:val="99"/>
    <w:unhideWhenUsed/>
    <w:rsid w:val="00BE66AC"/>
    <w:pPr>
      <w:tabs>
        <w:tab w:val="center" w:pos="4536"/>
        <w:tab w:val="right" w:pos="9072"/>
      </w:tabs>
      <w:spacing w:after="0" w:line="240" w:lineRule="auto"/>
    </w:pPr>
  </w:style>
  <w:style w:type="character" w:customStyle="1" w:styleId="FooterChar">
    <w:name w:val="Footer Char"/>
    <w:basedOn w:val="DefaultParagraphFont"/>
    <w:link w:val="Footer"/>
    <w:uiPriority w:val="99"/>
    <w:rsid w:val="00BE66AC"/>
    <w:rPr>
      <w:lang w:val="en-GB"/>
    </w:rPr>
  </w:style>
  <w:style w:type="paragraph" w:styleId="FootnoteText">
    <w:name w:val="footnote text"/>
    <w:basedOn w:val="Normal"/>
    <w:link w:val="FootnoteTextChar"/>
    <w:uiPriority w:val="99"/>
    <w:semiHidden/>
    <w:unhideWhenUsed/>
    <w:rsid w:val="002C35B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C35B8"/>
    <w:rPr>
      <w:sz w:val="20"/>
      <w:szCs w:val="20"/>
      <w:lang w:val="en-GB"/>
    </w:rPr>
  </w:style>
  <w:style w:type="character" w:styleId="FootnoteReference">
    <w:name w:val="footnote reference"/>
    <w:basedOn w:val="DefaultParagraphFont"/>
    <w:uiPriority w:val="99"/>
    <w:semiHidden/>
    <w:unhideWhenUsed/>
    <w:rsid w:val="002C35B8"/>
    <w:rPr>
      <w:vertAlign w:val="superscript"/>
    </w:rPr>
  </w:style>
  <w:style w:type="paragraph" w:styleId="Caption">
    <w:name w:val="caption"/>
    <w:basedOn w:val="Normal"/>
    <w:next w:val="Normal"/>
    <w:uiPriority w:val="35"/>
    <w:unhideWhenUsed/>
    <w:qFormat/>
    <w:rsid w:val="008E095B"/>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8C705B"/>
    <w:rPr>
      <w:color w:val="666666"/>
    </w:rPr>
  </w:style>
  <w:style w:type="character" w:styleId="Hyperlink">
    <w:name w:val="Hyperlink"/>
    <w:basedOn w:val="DefaultParagraphFont"/>
    <w:uiPriority w:val="99"/>
    <w:unhideWhenUsed/>
    <w:rsid w:val="000E4F22"/>
    <w:rPr>
      <w:color w:val="467886" w:themeColor="hyperlink"/>
      <w:u w:val="single"/>
    </w:rPr>
  </w:style>
  <w:style w:type="character" w:styleId="UnresolvedMention">
    <w:name w:val="Unresolved Mention"/>
    <w:basedOn w:val="DefaultParagraphFont"/>
    <w:uiPriority w:val="99"/>
    <w:semiHidden/>
    <w:unhideWhenUsed/>
    <w:rsid w:val="000E4F22"/>
    <w:rPr>
      <w:color w:val="605E5C"/>
      <w:shd w:val="clear" w:color="auto" w:fill="E1DFDD"/>
    </w:rPr>
  </w:style>
  <w:style w:type="paragraph" w:styleId="Bibliography">
    <w:name w:val="Bibliography"/>
    <w:basedOn w:val="Normal"/>
    <w:next w:val="Normal"/>
    <w:uiPriority w:val="37"/>
    <w:unhideWhenUsed/>
    <w:rsid w:val="004B6D2D"/>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github.com/adamarany/adamarany.git"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4960</TotalTime>
  <Pages>1</Pages>
  <Words>3894</Words>
  <Characters>26875</Characters>
  <Application>Microsoft Office Word</Application>
  <DocSecurity>0</DocSecurity>
  <Lines>223</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Arany Ádám Ernő</dc:creator>
  <cp:keywords/>
  <dc:description/>
  <cp:lastModifiedBy>Ádám Arany</cp:lastModifiedBy>
  <cp:revision>11</cp:revision>
  <dcterms:created xsi:type="dcterms:W3CDTF">2024-09-02T18:06:00Z</dcterms:created>
  <dcterms:modified xsi:type="dcterms:W3CDTF">2024-09-06T04:52:00Z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id="hrAMOeKq"/&gt;&lt;style id="http://www.zotero.org/styles/chicago-fullnote-bibliography" locale="en-GB" hasBibliography="1" bibliographyStyleHasBeenSet="1"/&gt;&lt;prefs&gt;&lt;pref name="fieldType" value="Field"/&gt;</vt:lpwstr>
  </property>
  <property fmtid="{D5CDD505-2E9C-101B-9397-08002B2CF9AE}" pid="3" name="ZOTERO_PREF_2">
    <vt:lpwstr>&lt;pref name="automaticJournalAbbreviations" value="true"/&gt;&lt;pref name="noteType" value="1"/&gt;&lt;/prefs&gt;&lt;/data&gt;</vt:lpwstr>
  </property>
</Properties>
</file>