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9122"/>
      </w:tblGrid>
      <w:tr w:rsidR="00BB0DA9" w:rsidTr="00BB0DA9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</w:rPr>
              <w:t>&lt;MAGDA&gt;</w:t>
            </w:r>
          </w:p>
        </w:tc>
      </w:tr>
      <w:tr w:rsidR="00BB0DA9" w:rsidTr="00BB0DA9">
        <w:tblPrEx>
          <w:tblCellMar>
            <w:top w:w="0" w:type="dxa"/>
            <w:bottom w:w="0" w:type="dxa"/>
          </w:tblCellMar>
        </w:tblPrEx>
        <w:trPr>
          <w:trHeight w:val="1966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2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Na wstępie chcielibyśmy przypomnieć kilka ważnych pojęć dotyczących biometrii. Biometrię dzielimy na dwie kategorie: fizjologiczną i behawioralną. Pierwsza z nich mierzy różny cechy człowieka, które zazwyczaj posiada od urodzenia, a druga rejestruje zachowania człowieka przy pewnych nabytych czynnościach. Chód jest przykładem biometrii behawioralnej.</w:t>
            </w:r>
          </w:p>
          <w:p w:rsidR="00BB0DA9" w:rsidRDefault="00BB0DA9"/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870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3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Biometria może służyć zarówno do identyfikacji jak i weryfikacji osób. Różnice pomiędzy tymi dwoma zastosowaniami biometrii dobrze pokazuje wyświetlona grafika. Identyfikacja odpowiada niejako na pytanie „Kim jesteś?”, a weryfikacja „Czy rzeczywiście jesteś Panią lub Panem X?”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Tr="00BB0DA9">
        <w:tblPrEx>
          <w:tblCellMar>
            <w:top w:w="0" w:type="dxa"/>
            <w:bottom w:w="0" w:type="dxa"/>
          </w:tblCellMar>
        </w:tblPrEx>
        <w:trPr>
          <w:trHeight w:val="1765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4</w:t>
            </w:r>
          </w:p>
        </w:tc>
        <w:tc>
          <w:tcPr>
            <w:tcW w:w="9122" w:type="dxa"/>
          </w:tcPr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proofErr w:type="spellStart"/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A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Arystotelesowi</w:t>
            </w:r>
            <w:proofErr w:type="spellEnd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można przypisać najwcześniejsze zarejestrowane komentarze dotyczące sposobu, w jaki ludzie chodzą. Stwierdził</w:t>
            </w:r>
            <w:r>
              <w:rPr>
                <w:rFonts w:ascii="Calibri" w:hAnsi="Calibri" w:cs="Calibri"/>
                <w:kern w:val="24"/>
                <w:sz w:val="24"/>
                <w:szCs w:val="24"/>
              </w:rPr>
              <w:t xml:space="preserve"> on, 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że</w:t>
            </w:r>
            <w:r>
              <w:rPr>
                <w:rFonts w:ascii="Calibri" w:hAnsi="Calibri" w:cs="Calibri"/>
                <w:kern w:val="24"/>
                <w:sz w:val="24"/>
                <w:szCs w:val="24"/>
              </w:rPr>
              <w:t xml:space="preserve"> &lt;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cytat</w:t>
            </w:r>
            <w:r>
              <w:rPr>
                <w:rFonts w:ascii="Calibri" w:hAnsi="Calibri" w:cs="Calibri"/>
                <w:kern w:val="24"/>
                <w:sz w:val="24"/>
                <w:szCs w:val="24"/>
              </w:rPr>
              <w:t>&gt;.</w:t>
            </w:r>
          </w:p>
          <w:p w:rsidR="00BB0DA9" w:rsidRDefault="00BB0DA9"/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983"/>
        </w:trPr>
        <w:tc>
          <w:tcPr>
            <w:tcW w:w="1368" w:type="dxa"/>
          </w:tcPr>
          <w:p w:rsidR="00BB0DA9" w:rsidRDefault="00BB0DA9">
            <w:bookmarkStart w:id="0" w:name="_GoBack"/>
            <w:proofErr w:type="spellStart"/>
            <w:r>
              <w:t>Slajd</w:t>
            </w:r>
            <w:proofErr w:type="spellEnd"/>
            <w:r>
              <w:t xml:space="preserve"> 5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Naukowy rozwój badań nad chodem nastąpił dopiero w XIX wieku. Jednym z pionierów był </w:t>
            </w:r>
            <w:proofErr w:type="spellStart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Étienne-Jules</w:t>
            </w:r>
            <w:proofErr w:type="spellEnd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</w:t>
            </w:r>
            <w:proofErr w:type="spellStart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Marey</w:t>
            </w:r>
            <w:proofErr w:type="spellEnd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. Jako pierwszy wykonał on diagram chodu człowieka. Przez kolejne stulecie chodem zajmowało się wielu naukowców – mimo to model matematyczny chodu powstał dopiero w latach 90. ubiegłego wieku. Wtedy też, na podstawie tego modelu, udało się stworzyć robota, który samodzielnie poruszał się na dwóch kończynach.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bookmarkEnd w:id="0"/>
      <w:tr w:rsidR="00BB0DA9" w:rsidTr="00BB0DA9">
        <w:tblPrEx>
          <w:tblCellMar>
            <w:top w:w="0" w:type="dxa"/>
            <w:bottom w:w="0" w:type="dxa"/>
          </w:tblCellMar>
        </w:tblPrEx>
        <w:trPr>
          <w:trHeight w:val="38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6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Chód jak każda cecha biometryczna ma pewne wady i zalety. (…)</w:t>
            </w:r>
          </w:p>
          <w:p w:rsidR="00BB0DA9" w:rsidRDefault="00BB0DA9"/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3246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7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Chód jako cecha biometryczna znajduje zastosowanie w wielu dziedzinach. W medycynie ma zastosowanie m.in. w ortopedii, neurologii, badaniu postawy ciała i sprawności fizycznej. Z kolei, w sporcie rozpoznawanie ruchu jest przydatne do analizowania ruchów sportowych i projektowania wydajnych programów treningowych. Analiza ruchu odgrywa również ważną rolę w robotyce przy sterowaniu robotami humanoidalnymi.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Na dwóch kolejnych slajdach krótko przedstawimy naszym zdaniem dwa najciekawsze obszary zastosowań rozpoznawania i analizy chodu, czyli </w:t>
            </w:r>
            <w:proofErr w:type="spellStart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kryminalistkyę</w:t>
            </w:r>
            <w:proofErr w:type="spellEnd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oraz wewnętrzną nawigację inercjalną.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2405"/>
        </w:trPr>
        <w:tc>
          <w:tcPr>
            <w:tcW w:w="1368" w:type="dxa"/>
          </w:tcPr>
          <w:p w:rsidR="00BB0DA9" w:rsidRDefault="00BB0DA9">
            <w:proofErr w:type="spellStart"/>
            <w:r>
              <w:lastRenderedPageBreak/>
              <w:t>Slajd</w:t>
            </w:r>
            <w:proofErr w:type="spellEnd"/>
            <w:r>
              <w:t xml:space="preserve"> 8</w:t>
            </w:r>
          </w:p>
        </w:tc>
        <w:tc>
          <w:tcPr>
            <w:tcW w:w="9122" w:type="dxa"/>
          </w:tcPr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</w:t>
            </w: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ADAM</w:t>
            </w: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&gt;</w:t>
            </w:r>
          </w:p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W kryminalistyce rozpoznawanie śladów znajduje zastosowanie przy analizie i identyfikacji m.in. ludzkich śladów i nosi nazwę traseologii.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Ślady pozostawione przez sprawcę na miejscu zdarzenia wykazują jego </w:t>
            </w:r>
            <w:proofErr w:type="spellStart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ichnogram</w:t>
            </w:r>
            <w:proofErr w:type="spellEnd"/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, czyli tzw. „ścieżkę chodu”.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Do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rozpoznania sprawcy stosuje się badania ustalające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m.in.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: kierunek i linię chodu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;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kąt oraz linię stopy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;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długość i szerokość kroku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, a także</w:t>
            </w: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 długość i szerokość poszczególnego śladu</w:t>
            </w: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2570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9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Wewnętrzna nawigacja inercyjna jest jednym z zastosowań, które naszym zadaniem w najbliższych latach będzie przybierać na wadze. Pozwala ona na dokładne nawigowanie ludzi np. po budynkach. Na slajdzie przedstawiliśmy schemat blokowy przykładowego algorytmu obliczania pozycji na podstawie danych z akcelerometru, żyroskopu i magnetometru. Wykorzystuje on dane z czujników do obliczenia długości kroku i kierunku ruchu, które są dodawane do poprzedniej pozycji w celu wyznaczenia nowej.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10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W chodzie człowieka możemy wyróżnić kilka faz. Należy również zauważyć że człowiek w ruchu nigdy nie porusza się po linii prostej w żadnej z płaszczyzn, co obrazuje grafika po lewej stronie.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11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Do detekcji kroku na podstawie akcelerometru potrzebne są dane z pionowej względem człowieka osi. Krzywa wartości przyspieszenia względem czasu podczas chodzenia przy każdym kroku wykazuje podobny kształt zawierający kilka punktów charakterystycznych.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Analiza wykresu chodu pozwala ustalić również dodatkowe informacje o osobie, np. grupę wiekową lub fakt korzystania z różnego rodzaju pomocy.</w:t>
            </w:r>
          </w:p>
          <w:p w:rsidR="00BB0DA9" w:rsidRDefault="00BB0DA9" w:rsidP="00BB0D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50" w:hanging="450"/>
              <w:jc w:val="both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Zauważono, że seniorzy mają tendencję do czekania, aż stopa przednia wyląduje na ziemi, zanim zaczną przesuwać tylną stopę do przodu. Powoduje to spadek przyspieszenia, a następnie jego wzrost, gdy mięśnie łydki tylnej stopy zaczynają odsuwać piętę. Ta nieciągłość w odpowiedzi obciążenia dzieli pik R-A na R i A.</w:t>
            </w:r>
          </w:p>
          <w:p w:rsidR="00BB0DA9" w:rsidRDefault="00BB0DA9" w:rsidP="00BB0DA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450" w:hanging="450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Stwierdzono również, że brak interwału I-S jest ściśle związany z korzystaniem z różnego rodzaju pomocy podczas chodzenia, np.: chodzika.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069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12</w:t>
            </w:r>
          </w:p>
        </w:tc>
        <w:tc>
          <w:tcPr>
            <w:tcW w:w="9122" w:type="dxa"/>
          </w:tcPr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Systemy rozpoznawania chodu dzielimy na …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984"/>
        </w:trPr>
        <w:tc>
          <w:tcPr>
            <w:tcW w:w="1368" w:type="dxa"/>
          </w:tcPr>
          <w:p w:rsidR="00BB0DA9" w:rsidRDefault="00BB0DA9">
            <w:proofErr w:type="spellStart"/>
            <w:r>
              <w:lastRenderedPageBreak/>
              <w:t>Slajd</w:t>
            </w:r>
            <w:proofErr w:type="spellEnd"/>
            <w:r>
              <w:t xml:space="preserve"> 13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&lt;PAWEŁ&gt;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Rozpoznawanie chodu oparte o widzenie maszynowe i dalsza identyfikacja lub weryfikacja osób opiera się na wyodrębnieniu różnego rodzaju cech z zarejestrowanych obrazów. Mogą to być np. kąty pomiędzy stawami, długość kroku lub kończyn.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14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Przedstawię teraz jeden z prostszych algorytmów służących do weryfikacji osoby na podstawie danych z akcelerometru.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2472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15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Algorytm składa się z 4 kroków.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70" w:hanging="270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Pierwszym krokiem jest obliczenie połączonego sygnału przyspieszenia</w:t>
            </w:r>
          </w:p>
          <w:p w:rsidR="00BB0DA9" w:rsidRDefault="00BB0DA9" w:rsidP="00BB0DA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70" w:hanging="270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Kolejny etap to obliczenie n-przedziałowego histogramu</w:t>
            </w:r>
          </w:p>
          <w:p w:rsidR="00BB0DA9" w:rsidRDefault="00BB0DA9" w:rsidP="00BB0DA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70" w:hanging="270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Obliczony histogram należy znormalizować poprzez podzielenie wartości przez liczbę zarejestrowanych obserwacji.</w:t>
            </w:r>
          </w:p>
          <w:p w:rsidR="00BB0DA9" w:rsidRDefault="00BB0DA9" w:rsidP="00BB0DA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70" w:hanging="270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Ostatnim krokiem jest wyznaczenie podobieństwa histogramu.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2489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16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Na tym slajdzie widzimy ponownie wszystkie cztery kroki, ale tym razem wraz z ich graficzną reprezentacją. Warto podkreślić, że w tym algorytmie sprawdza się podobieństwo nowo zarejestrowanej próbki chodu z próbką wcześniej zarejestrowaną. 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2060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Gdyby ktoś miał ochotę bardziej zgłębić zaprezentowaną metodę to na dole slajdu znajduje się numer DOI oraz ISBN publikacji na podstawie których opracowaliśmy ten slajd.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304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17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Weryfikacja osoby, a także jej identyfikacja może być przeprowadzona na podstawie zarejestrowanej sekwencji obrazów przekształconej w obraz energii chodu.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247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18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P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 w:themeColor="text1"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color w:val="000000" w:themeColor="text1"/>
                <w:kern w:val="24"/>
                <w:sz w:val="24"/>
                <w:szCs w:val="24"/>
                <w:lang w:val="pl-PL"/>
              </w:rPr>
              <w:t xml:space="preserve">Obraz energii chodu jest to suma obrazów chodzącej sylwetki podzielona przez ich liczbę. Na grafice widzimy trzy przykładowe </w:t>
            </w:r>
            <w:proofErr w:type="spellStart"/>
            <w:r w:rsidRPr="00BB0DA9">
              <w:rPr>
                <w:rFonts w:ascii="Calibri" w:hAnsi="Calibri" w:cs="Calibri"/>
                <w:color w:val="000000" w:themeColor="text1"/>
                <w:kern w:val="24"/>
                <w:sz w:val="24"/>
                <w:szCs w:val="24"/>
                <w:lang w:val="pl-PL"/>
              </w:rPr>
              <w:t>sekwecje</w:t>
            </w:r>
            <w:proofErr w:type="spellEnd"/>
            <w:r w:rsidRPr="00BB0DA9">
              <w:rPr>
                <w:rFonts w:ascii="Calibri" w:hAnsi="Calibri" w:cs="Calibri"/>
                <w:color w:val="000000" w:themeColor="text1"/>
                <w:kern w:val="24"/>
                <w:sz w:val="24"/>
                <w:szCs w:val="24"/>
                <w:lang w:val="pl-PL"/>
              </w:rPr>
              <w:t xml:space="preserve"> chodu wraz z wynikowym obrazem energii.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RPr="00BB0DA9" w:rsidTr="00BB0DA9">
        <w:tblPrEx>
          <w:tblCellMar>
            <w:top w:w="0" w:type="dxa"/>
            <w:bottom w:w="0" w:type="dxa"/>
          </w:tblCellMar>
        </w:tblPrEx>
        <w:trPr>
          <w:trHeight w:val="1191"/>
        </w:trPr>
        <w:tc>
          <w:tcPr>
            <w:tcW w:w="1368" w:type="dxa"/>
          </w:tcPr>
          <w:p w:rsidR="00BB0DA9" w:rsidRDefault="00BB0DA9">
            <w:proofErr w:type="spellStart"/>
            <w:r>
              <w:t>Slajd</w:t>
            </w:r>
            <w:proofErr w:type="spellEnd"/>
            <w:r>
              <w:t xml:space="preserve"> 19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&lt;ADAM&gt;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Przedstawiony na slajdzie schemat blokowy algorytmu, który może posłużyć do identyfikacji lub weryfikacji osób.</w:t>
            </w:r>
          </w:p>
          <w:p w:rsidR="00BB0DA9" w:rsidRPr="00BB0DA9" w:rsidRDefault="00BB0DA9">
            <w:pPr>
              <w:rPr>
                <w:lang w:val="pl-PL"/>
              </w:rPr>
            </w:pPr>
          </w:p>
        </w:tc>
      </w:tr>
      <w:tr w:rsidR="00BB0DA9" w:rsidTr="00BB0DA9">
        <w:tblPrEx>
          <w:tblCellMar>
            <w:top w:w="0" w:type="dxa"/>
            <w:bottom w:w="0" w:type="dxa"/>
          </w:tblCellMar>
        </w:tblPrEx>
        <w:trPr>
          <w:trHeight w:val="1928"/>
        </w:trPr>
        <w:tc>
          <w:tcPr>
            <w:tcW w:w="1368" w:type="dxa"/>
          </w:tcPr>
          <w:p w:rsidR="00BB0DA9" w:rsidRDefault="00BB0DA9">
            <w:proofErr w:type="spellStart"/>
            <w:r>
              <w:lastRenderedPageBreak/>
              <w:t>Slajd</w:t>
            </w:r>
            <w:proofErr w:type="spellEnd"/>
            <w:r>
              <w:t xml:space="preserve"> 20</w:t>
            </w:r>
          </w:p>
        </w:tc>
        <w:tc>
          <w:tcPr>
            <w:tcW w:w="9122" w:type="dxa"/>
          </w:tcPr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  <w:r w:rsidRPr="00BB0DA9"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  <w:t>&lt;MAGDA&gt;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kern w:val="24"/>
                <w:sz w:val="24"/>
                <w:szCs w:val="24"/>
                <w:lang w:val="pl-PL"/>
              </w:rPr>
            </w:pP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 xml:space="preserve">Kończąc nasze wystąpienie, mamy głęboką nadzieję że pomimo obszerności tematu i ograniczonego czasu, udało nam się przybliżyć najważniejsze zagadnienia związane z rozpoznawaniem chodu. </w:t>
            </w:r>
          </w:p>
          <w:p w:rsidR="00BB0DA9" w:rsidRDefault="00BB0DA9" w:rsidP="00BB0D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pl-PL"/>
              </w:rPr>
              <w:t>Dziękujemy za uwagę.</w:t>
            </w:r>
          </w:p>
          <w:p w:rsidR="00BB0DA9" w:rsidRDefault="00BB0DA9"/>
        </w:tc>
      </w:tr>
    </w:tbl>
    <w:p w:rsidR="00DD108C" w:rsidRDefault="00DD108C"/>
    <w:sectPr w:rsidR="00DD108C" w:rsidSect="00BB0DA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0FA" w:rsidRDefault="00E230FA" w:rsidP="00BB0DA9">
      <w:pPr>
        <w:spacing w:after="0" w:line="240" w:lineRule="auto"/>
      </w:pPr>
      <w:r>
        <w:separator/>
      </w:r>
    </w:p>
  </w:endnote>
  <w:endnote w:type="continuationSeparator" w:id="0">
    <w:p w:rsidR="00E230FA" w:rsidRDefault="00E230FA" w:rsidP="00BB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1283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B0DA9" w:rsidRDefault="00BB0DA9">
            <w:pPr>
              <w:pStyle w:val="Stopka"/>
              <w:jc w:val="center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0DA9" w:rsidRDefault="00BB0D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0FA" w:rsidRDefault="00E230FA" w:rsidP="00BB0DA9">
      <w:pPr>
        <w:spacing w:after="0" w:line="240" w:lineRule="auto"/>
      </w:pPr>
      <w:r>
        <w:separator/>
      </w:r>
    </w:p>
  </w:footnote>
  <w:footnote w:type="continuationSeparator" w:id="0">
    <w:p w:rsidR="00E230FA" w:rsidRDefault="00E230FA" w:rsidP="00BB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7A2A2D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A9"/>
    <w:rsid w:val="000F49E6"/>
    <w:rsid w:val="00223EA0"/>
    <w:rsid w:val="002A1D50"/>
    <w:rsid w:val="002F666D"/>
    <w:rsid w:val="00534E93"/>
    <w:rsid w:val="00536B25"/>
    <w:rsid w:val="00574F04"/>
    <w:rsid w:val="005A26EE"/>
    <w:rsid w:val="00637F29"/>
    <w:rsid w:val="00682E2D"/>
    <w:rsid w:val="00885EDB"/>
    <w:rsid w:val="008A6540"/>
    <w:rsid w:val="00923C36"/>
    <w:rsid w:val="009B430A"/>
    <w:rsid w:val="00A94C5D"/>
    <w:rsid w:val="00B548D8"/>
    <w:rsid w:val="00B9424F"/>
    <w:rsid w:val="00BB0DA9"/>
    <w:rsid w:val="00CB215A"/>
    <w:rsid w:val="00DD108C"/>
    <w:rsid w:val="00E230FA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0881"/>
  <w15:chartTrackingRefBased/>
  <w15:docId w15:val="{29022BD2-7258-47D2-BE08-E01F49AA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B0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0DA9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BB0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0DA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851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Bajguz</dc:creator>
  <cp:keywords/>
  <dc:description/>
  <cp:lastModifiedBy>Andrzej Bajguz</cp:lastModifiedBy>
  <cp:revision>1</cp:revision>
  <dcterms:created xsi:type="dcterms:W3CDTF">2019-05-29T10:27:00Z</dcterms:created>
  <dcterms:modified xsi:type="dcterms:W3CDTF">2019-05-29T10:32:00Z</dcterms:modified>
</cp:coreProperties>
</file>