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497D"/>
          <w:sz w:val="36"/>
        </w:rPr>
        <w:t>DM024-4-2 MANUFACTURING PROCESSES</w:t>
      </w:r>
    </w:p>
    <w:p>
      <w:pPr>
        <w:jc w:val="center"/>
      </w:pPr>
      <w:r>
        <w:rPr>
          <w:rFonts w:ascii="Calibri" w:hAnsi="Calibri"/>
          <w:b/>
          <w:color w:val="2E74B5"/>
          <w:sz w:val="28"/>
        </w:rPr>
        <w:t>Assessment 2: Group Investigation Report</w:t>
      </w:r>
    </w:p>
    <w:p/>
    <w:p>
      <w:pPr>
        <w:jc w:val="center"/>
      </w:pPr>
      <w:r>
        <w:rPr>
          <w:rFonts w:ascii="Calibri" w:hAnsi="Calibri"/>
          <w:i/>
          <w:sz w:val="26"/>
        </w:rPr>
        <w:t>Product Analysis of a 2" (50mm) Plastic Quick-Release Buckle</w:t>
      </w:r>
    </w:p>
    <w:p/>
    <w:p/>
    <w:p>
      <w:pPr>
        <w:spacing w:after="80"/>
        <w:jc w:val="center"/>
      </w:pPr>
      <w:r>
        <w:rPr>
          <w:rFonts w:ascii="Calibri" w:hAnsi="Calibri"/>
          <w:b/>
          <w:sz w:val="22"/>
        </w:rPr>
        <w:t xml:space="preserve">Student Name:  </w:t>
      </w:r>
      <w:r>
        <w:rPr>
          <w:rFonts w:ascii="Calibri" w:hAnsi="Calibri"/>
          <w:sz w:val="22"/>
        </w:rPr>
        <w:t>Adam Mohamed Abdelkader Mohamed Elbannani</w:t>
      </w:r>
    </w:p>
    <w:p>
      <w:pPr>
        <w:spacing w:after="80"/>
        <w:jc w:val="center"/>
      </w:pPr>
      <w:r>
        <w:rPr>
          <w:rFonts w:ascii="Calibri" w:hAnsi="Calibri"/>
          <w:b/>
          <w:sz w:val="22"/>
        </w:rPr>
        <w:t xml:space="preserve">Student ID:  </w:t>
      </w:r>
      <w:r>
        <w:rPr>
          <w:rFonts w:ascii="Calibri" w:hAnsi="Calibri"/>
          <w:sz w:val="22"/>
        </w:rPr>
        <w:t>TP073524</w:t>
      </w:r>
    </w:p>
    <w:p>
      <w:pPr>
        <w:spacing w:after="80"/>
        <w:jc w:val="center"/>
      </w:pPr>
      <w:r>
        <w:rPr>
          <w:rFonts w:ascii="Calibri" w:hAnsi="Calibri"/>
          <w:b/>
          <w:sz w:val="22"/>
        </w:rPr>
        <w:t xml:space="preserve">Module:  </w:t>
      </w:r>
      <w:r>
        <w:rPr>
          <w:rFonts w:ascii="Calibri" w:hAnsi="Calibri"/>
          <w:sz w:val="22"/>
        </w:rPr>
        <w:t>DM024-4-2 Manufacturing Processes</w:t>
      </w:r>
    </w:p>
    <w:p>
      <w:pPr>
        <w:spacing w:after="80"/>
        <w:jc w:val="center"/>
      </w:pPr>
      <w:r>
        <w:rPr>
          <w:rFonts w:ascii="Calibri" w:hAnsi="Calibri"/>
          <w:b/>
          <w:sz w:val="22"/>
        </w:rPr>
        <w:t xml:space="preserve">Lecturer:  </w:t>
      </w:r>
      <w:r>
        <w:rPr>
          <w:rFonts w:ascii="Calibri" w:hAnsi="Calibri"/>
          <w:sz w:val="22"/>
        </w:rPr>
        <w:t>Liew Yong Kian</w:t>
      </w:r>
    </w:p>
    <w:p>
      <w:pPr>
        <w:spacing w:after="80"/>
        <w:jc w:val="center"/>
      </w:pPr>
      <w:r>
        <w:rPr>
          <w:rFonts w:ascii="Calibri" w:hAnsi="Calibri"/>
          <w:b/>
          <w:sz w:val="22"/>
        </w:rPr>
        <w:t xml:space="preserve">Submission Date:  </w:t>
      </w:r>
      <w:r>
        <w:rPr>
          <w:rFonts w:ascii="Calibri" w:hAnsi="Calibri"/>
          <w:sz w:val="22"/>
        </w:rPr>
        <w:t>9th June 2026</w:t>
      </w:r>
    </w:p>
    <w:p>
      <w:r>
        <w:br w:type="page"/>
      </w:r>
    </w:p>
    <w:p>
      <w:pPr>
        <w:pStyle w:val="Heading1"/>
      </w:pPr>
      <w:r>
        <w:rPr>
          <w:rFonts w:ascii="Calibri" w:hAnsi="Calibri"/>
          <w:color w:val="1F497D"/>
          <w:sz w:val="28"/>
        </w:rPr>
        <w:t>1.0  Introduction</w:t>
      </w:r>
    </w:p>
    <w:p>
      <w:pPr>
        <w:spacing w:before="0" w:after="120" w:line="360" w:lineRule="exact"/>
      </w:pPr>
      <w:r>
        <w:rPr>
          <w:rFonts w:ascii="Calibri" w:hAnsi="Calibri"/>
          <w:b w:val="0"/>
          <w:i w:val="0"/>
          <w:sz w:val="22"/>
        </w:rPr>
        <w:t>The product under investigation is a 2-inch (50mm) wide plastic quick-release buckle, a common fastening component widely used in backpacks, luggage straps, safety harnesses, and outdoor equipment. The buckle consists of two interlocking injection-moulded components: a female receiver (the rectangular housing containing the side-press release buttons) and a male insert (the pronged tongue that clicks into the receiver). Both components are manufactured from a black thermoplastic polymer via injection moulding.</w:t>
      </w:r>
    </w:p>
    <w:p>
      <w:pPr>
        <w:spacing w:before="0" w:after="120" w:line="360" w:lineRule="exact"/>
      </w:pPr>
      <w:r>
        <w:rPr>
          <w:rFonts w:ascii="Calibri" w:hAnsi="Calibri"/>
          <w:b w:val="0"/>
          <w:i w:val="0"/>
          <w:sz w:val="22"/>
        </w:rPr>
        <w:t>This report identifies and analyses a minimum of eight manufacturing features observed directly on the purchased physical buckle, examining each feature from the standpoint of toolability (the ability of the mould tool to produce the feature) and moldability (the ability of the injection moulding process to produce the feature consistently and without defects). Clear photographs of each feature accompany the analysis.</w:t>
      </w:r>
    </w:p>
    <w:p>
      <w:pPr>
        <w:spacing w:before="40" w:after="40"/>
        <w:pBdr>
          <w:bottom w:val="single" w:sz="6" w:space="1" w:color="BFBFBF"/>
        </w:pBdr>
      </w:pPr>
    </w:p>
    <w:p>
      <w:pPr>
        <w:pStyle w:val="Heading1"/>
      </w:pPr>
      <w:r>
        <w:rPr>
          <w:rFonts w:ascii="Calibri" w:hAnsi="Calibri"/>
          <w:color w:val="1F497D"/>
          <w:sz w:val="28"/>
        </w:rPr>
        <w:t>2.0  Criteria 1: Product Features Identification</w:t>
      </w:r>
    </w:p>
    <w:p>
      <w:pPr>
        <w:pStyle w:val="Heading2"/>
      </w:pPr>
      <w:r>
        <w:rPr>
          <w:rFonts w:ascii="Calibri" w:hAnsi="Calibri"/>
          <w:color w:val="2E74B5"/>
          <w:sz w:val="24"/>
        </w:rPr>
        <w:t>Feature 1: Parting Line</w:t>
      </w:r>
    </w:p>
    <w:p>
      <w:pPr>
        <w:spacing w:after="80"/>
      </w:pPr>
      <w:r>
        <w:rPr>
          <w:rFonts w:ascii="Calibri" w:hAnsi="Calibri"/>
          <w:b/>
          <w:sz w:val="22"/>
        </w:rPr>
        <w:t xml:space="preserve">Location: </w:t>
      </w:r>
      <w:r>
        <w:rPr>
          <w:rFonts w:ascii="Calibri" w:hAnsi="Calibri"/>
          <w:sz w:val="22"/>
        </w:rPr>
        <w:t>Running horizontally along the outer perimeter of both the female receiver and the male insert, at the mid-plane of each part's thickness.</w:t>
      </w:r>
    </w:p>
    <w:p>
      <w:pPr>
        <w:spacing w:before="0" w:after="120" w:line="360" w:lineRule="exact"/>
      </w:pPr>
      <w:r>
        <w:rPr>
          <w:rFonts w:ascii="Calibri" w:hAnsi="Calibri"/>
          <w:b w:val="0"/>
          <w:i w:val="0"/>
          <w:sz w:val="22"/>
        </w:rPr>
        <w:t>A continuous visible seam line is observed encircling both components at their thickest mid-plane. On the female receiver, the parting line runs along all four sides of the housing and around the release button cutouts. On the male insert, the parting line is clearly visible running along the full length of both prong arms and along the snap bar. The line is clean, consistent, and sits precisely at the geometric midpoint of the part thickness in all locations observed.</w:t>
      </w:r>
    </w:p>
    <w:p>
      <w:pPr>
        <w:spacing w:before="120" w:after="60"/>
        <w:jc w:val="center"/>
      </w:pPr>
      <w:r>
        <w:rPr>
          <w:rFonts w:ascii="Calibri" w:hAnsi="Calibri"/>
          <w:i/>
          <w:color w:val="707070"/>
          <w:sz w:val="20"/>
        </w:rPr>
        <w:t>[ INSERT PHOTO — Photo 2 — side edge view of female receiver showing parting line ]</w:t>
      </w:r>
    </w:p>
    <w:p>
      <w:pPr>
        <w:spacing w:after="200"/>
        <w:jc w:val="center"/>
      </w:pPr>
      <w:r>
        <w:rPr>
          <w:rFonts w:ascii="Calibri" w:hAnsi="Calibri"/>
          <w:i/>
          <w:sz w:val="18"/>
        </w:rPr>
        <w:t>Figure: Photo 2 — side edge view of female receiver showing parting line</w:t>
      </w:r>
    </w:p>
    <w:p>
      <w:pPr>
        <w:spacing w:before="120" w:after="60"/>
        <w:jc w:val="center"/>
      </w:pPr>
      <w:r>
        <w:rPr>
          <w:rFonts w:ascii="Calibri" w:hAnsi="Calibri"/>
          <w:i/>
          <w:color w:val="707070"/>
          <w:sz w:val="20"/>
        </w:rPr>
        <w:t>[ INSERT PHOTO — Photo 3 — close-up corner view of parting line on female receiver ]</w:t>
      </w:r>
    </w:p>
    <w:p>
      <w:pPr>
        <w:spacing w:after="200"/>
        <w:jc w:val="center"/>
      </w:pPr>
      <w:r>
        <w:rPr>
          <w:rFonts w:ascii="Calibri" w:hAnsi="Calibri"/>
          <w:i/>
          <w:sz w:val="18"/>
        </w:rPr>
        <w:t>Figure: Photo 3 — close-up corner view of parting line on female receiver</w:t>
      </w:r>
    </w:p>
    <w:p>
      <w:pPr>
        <w:spacing w:before="40" w:after="40"/>
        <w:pBdr>
          <w:bottom w:val="single" w:sz="6" w:space="1" w:color="BFBFBF"/>
        </w:pBdr>
      </w:pPr>
    </w:p>
    <w:p>
      <w:pPr>
        <w:pStyle w:val="Heading2"/>
      </w:pPr>
      <w:r>
        <w:rPr>
          <w:rFonts w:ascii="Calibri" w:hAnsi="Calibri"/>
          <w:color w:val="2E74B5"/>
          <w:sz w:val="24"/>
        </w:rPr>
        <w:t>Feature 2: Draft Angles</w:t>
      </w:r>
    </w:p>
    <w:p>
      <w:pPr>
        <w:spacing w:after="80"/>
      </w:pPr>
      <w:r>
        <w:rPr>
          <w:rFonts w:ascii="Calibri" w:hAnsi="Calibri"/>
          <w:b/>
          <w:sz w:val="22"/>
        </w:rPr>
        <w:t xml:space="preserve">Location: </w:t>
      </w:r>
      <w:r>
        <w:rPr>
          <w:rFonts w:ascii="Calibri" w:hAnsi="Calibri"/>
          <w:sz w:val="22"/>
        </w:rPr>
        <w:t>On all vertical walls of both components — the outer side walls of the female receiver housing and the full length of the male insert's prong arms.</w:t>
      </w:r>
    </w:p>
    <w:p>
      <w:pPr>
        <w:spacing w:before="0" w:after="120" w:line="360" w:lineRule="exact"/>
      </w:pPr>
      <w:r>
        <w:rPr>
          <w:rFonts w:ascii="Calibri" w:hAnsi="Calibri"/>
          <w:b w:val="0"/>
          <w:i w:val="0"/>
          <w:sz w:val="22"/>
        </w:rPr>
        <w:t>The prong arms of the male insert visibly taper from a wider base toward a narrower tip when viewed from the side profile. This taper is the draft angle applied to the walls to allow the part to release cleanly from the mould during ejection. The taper is consistent along the entire length of both prong arms. Similarly, the outer walls of the female receiver body are not perfectly perpendicular; they angle slightly outward from base to opening, consistent with a draft angle of approximately 1°–2°.</w:t>
      </w:r>
    </w:p>
    <w:p>
      <w:pPr>
        <w:spacing w:before="120" w:after="60"/>
        <w:jc w:val="center"/>
      </w:pPr>
      <w:r>
        <w:rPr>
          <w:rFonts w:ascii="Calibri" w:hAnsi="Calibri"/>
          <w:i/>
          <w:color w:val="707070"/>
          <w:sz w:val="20"/>
        </w:rPr>
        <w:t>[ INSERT PHOTO — Photo 6 — side profile of male insert showing prong taper/draft angle ]</w:t>
      </w:r>
    </w:p>
    <w:p>
      <w:pPr>
        <w:spacing w:after="200"/>
        <w:jc w:val="center"/>
      </w:pPr>
      <w:r>
        <w:rPr>
          <w:rFonts w:ascii="Calibri" w:hAnsi="Calibri"/>
          <w:i/>
          <w:sz w:val="18"/>
        </w:rPr>
        <w:t>Figure: Photo 6 — side profile of male insert showing prong taper/draft angle</w:t>
      </w:r>
    </w:p>
    <w:p>
      <w:pPr>
        <w:spacing w:before="40" w:after="40"/>
        <w:pBdr>
          <w:bottom w:val="single" w:sz="6" w:space="1" w:color="BFBFBF"/>
        </w:pBdr>
      </w:pPr>
    </w:p>
    <w:p>
      <w:pPr>
        <w:pStyle w:val="Heading2"/>
      </w:pPr>
      <w:r>
        <w:rPr>
          <w:rFonts w:ascii="Calibri" w:hAnsi="Calibri"/>
          <w:color w:val="2E74B5"/>
          <w:sz w:val="24"/>
        </w:rPr>
        <w:t>Feature 3: Nominal Wall Thickness</w:t>
      </w:r>
    </w:p>
    <w:p>
      <w:pPr>
        <w:spacing w:after="80"/>
      </w:pPr>
      <w:r>
        <w:rPr>
          <w:rFonts w:ascii="Calibri" w:hAnsi="Calibri"/>
          <w:b/>
          <w:sz w:val="22"/>
        </w:rPr>
        <w:t xml:space="preserve">Location: </w:t>
      </w:r>
      <w:r>
        <w:rPr>
          <w:rFonts w:ascii="Calibri" w:hAnsi="Calibri"/>
          <w:sz w:val="22"/>
        </w:rPr>
        <w:t>Throughout both components — the outer shell walls of the female receiver, the prong arm walls of the male insert, and the strap retention bars.</w:t>
      </w:r>
    </w:p>
    <w:p>
      <w:pPr>
        <w:spacing w:before="0" w:after="120" w:line="360" w:lineRule="exact"/>
      </w:pPr>
      <w:r>
        <w:rPr>
          <w:rFonts w:ascii="Calibri" w:hAnsi="Calibri"/>
          <w:b w:val="0"/>
          <w:i w:val="0"/>
          <w:sz w:val="22"/>
        </w:rPr>
        <w:t>Inspection of the top edge of the female receiver reveals a consistent wall thickness of approximately 2–3 mm across all sections of the outer shell. The strap retention bars at the top and bottom of the female receiver maintain this same consistent thickness. The prong arms of the male insert are similarly uniform in cross-section. No section of either component appears disproportionately thick or thin relative to adjacent areas, indicating that nominal wall thickness uniformity was a key design consideration.</w:t>
      </w:r>
    </w:p>
    <w:p>
      <w:pPr>
        <w:spacing w:before="120" w:after="60"/>
        <w:jc w:val="center"/>
      </w:pPr>
      <w:r>
        <w:rPr>
          <w:rFonts w:ascii="Calibri" w:hAnsi="Calibri"/>
          <w:i/>
          <w:color w:val="707070"/>
          <w:sz w:val="20"/>
        </w:rPr>
        <w:t>[ INSERT PHOTO — Photo 10 — top edge view of female receiver showing consistent wall thickness ]</w:t>
      </w:r>
    </w:p>
    <w:p>
      <w:pPr>
        <w:spacing w:after="200"/>
        <w:jc w:val="center"/>
      </w:pPr>
      <w:r>
        <w:rPr>
          <w:rFonts w:ascii="Calibri" w:hAnsi="Calibri"/>
          <w:i/>
          <w:sz w:val="18"/>
        </w:rPr>
        <w:t>Figure: Photo 10 — top edge view of female receiver showing consistent wall thickness</w:t>
      </w:r>
    </w:p>
    <w:p>
      <w:pPr>
        <w:spacing w:before="120" w:after="60"/>
        <w:jc w:val="center"/>
      </w:pPr>
      <w:r>
        <w:rPr>
          <w:rFonts w:ascii="Calibri" w:hAnsi="Calibri"/>
          <w:i/>
          <w:color w:val="707070"/>
          <w:sz w:val="20"/>
        </w:rPr>
        <w:t>[ INSERT PHOTO — Photo 13 — front cosmetic face of female receiver showing uniform shell ]</w:t>
      </w:r>
    </w:p>
    <w:p>
      <w:pPr>
        <w:spacing w:after="200"/>
        <w:jc w:val="center"/>
      </w:pPr>
      <w:r>
        <w:rPr>
          <w:rFonts w:ascii="Calibri" w:hAnsi="Calibri"/>
          <w:i/>
          <w:sz w:val="18"/>
        </w:rPr>
        <w:t>Figure: Photo 13 — front cosmetic face of female receiver showing uniform shell</w:t>
      </w:r>
    </w:p>
    <w:p>
      <w:pPr>
        <w:spacing w:before="40" w:after="40"/>
        <w:pBdr>
          <w:bottom w:val="single" w:sz="6" w:space="1" w:color="BFBFBF"/>
        </w:pBdr>
      </w:pPr>
    </w:p>
    <w:p>
      <w:pPr>
        <w:pStyle w:val="Heading2"/>
      </w:pPr>
      <w:r>
        <w:rPr>
          <w:rFonts w:ascii="Calibri" w:hAnsi="Calibri"/>
          <w:color w:val="2E74B5"/>
          <w:sz w:val="24"/>
        </w:rPr>
        <w:t>Feature 4: Flash — Absence of Flash</w:t>
      </w:r>
    </w:p>
    <w:p>
      <w:pPr>
        <w:spacing w:after="80"/>
      </w:pPr>
      <w:r>
        <w:rPr>
          <w:rFonts w:ascii="Calibri" w:hAnsi="Calibri"/>
          <w:b/>
          <w:sz w:val="22"/>
        </w:rPr>
        <w:t xml:space="preserve">Location: </w:t>
      </w:r>
      <w:r>
        <w:rPr>
          <w:rFonts w:ascii="Calibri" w:hAnsi="Calibri"/>
          <w:sz w:val="22"/>
        </w:rPr>
        <w:t>Along the parting line on all edges of both components, and around all slot openings and holes.</w:t>
      </w:r>
    </w:p>
    <w:p>
      <w:pPr>
        <w:spacing w:before="0" w:after="120" w:line="360" w:lineRule="exact"/>
      </w:pPr>
      <w:r>
        <w:rPr>
          <w:rFonts w:ascii="Calibri" w:hAnsi="Calibri"/>
          <w:b w:val="0"/>
          <w:i w:val="0"/>
          <w:sz w:val="22"/>
        </w:rPr>
        <w:t>Inspection of the parting line on both components reveals no flash — no thin fins or excess plastic protrusions are observed at any location where the two mould halves met. The edges along the parting line are clean, sharp, and smooth. Around the slot openings and button cutouts, the edges are equally clean with no burrs or thin plastic skins. This applies consistently to both the female receiver and the male insert across all edges inspected.</w:t>
      </w:r>
    </w:p>
    <w:p>
      <w:pPr>
        <w:spacing w:before="120" w:after="60"/>
        <w:jc w:val="center"/>
      </w:pPr>
      <w:r>
        <w:rPr>
          <w:rFonts w:ascii="Calibri" w:hAnsi="Calibri"/>
          <w:i/>
          <w:color w:val="707070"/>
          <w:sz w:val="20"/>
        </w:rPr>
        <w:t>[ INSERT PHOTO — Photo 3 — clean parting line edge on female receiver, no flash ]</w:t>
      </w:r>
    </w:p>
    <w:p>
      <w:pPr>
        <w:spacing w:after="200"/>
        <w:jc w:val="center"/>
      </w:pPr>
      <w:r>
        <w:rPr>
          <w:rFonts w:ascii="Calibri" w:hAnsi="Calibri"/>
          <w:i/>
          <w:sz w:val="18"/>
        </w:rPr>
        <w:t>Figure: Photo 3 — clean parting line edge on female receiver, no flash</w:t>
      </w:r>
    </w:p>
    <w:p>
      <w:pPr>
        <w:spacing w:before="120" w:after="60"/>
        <w:jc w:val="center"/>
      </w:pPr>
      <w:r>
        <w:rPr>
          <w:rFonts w:ascii="Calibri" w:hAnsi="Calibri"/>
          <w:i/>
          <w:color w:val="707070"/>
          <w:sz w:val="20"/>
        </w:rPr>
        <w:t>[ INSERT PHOTO — Photo 13 — clean front face perimeter with no flash at any edge ]</w:t>
      </w:r>
    </w:p>
    <w:p>
      <w:pPr>
        <w:spacing w:after="200"/>
        <w:jc w:val="center"/>
      </w:pPr>
      <w:r>
        <w:rPr>
          <w:rFonts w:ascii="Calibri" w:hAnsi="Calibri"/>
          <w:i/>
          <w:sz w:val="18"/>
        </w:rPr>
        <w:t>Figure: Photo 13 — clean front face perimeter with no flash at any edge</w:t>
      </w:r>
    </w:p>
    <w:p>
      <w:pPr>
        <w:spacing w:before="40" w:after="40"/>
        <w:pBdr>
          <w:bottom w:val="single" w:sz="6" w:space="1" w:color="BFBFBF"/>
        </w:pBdr>
      </w:pPr>
    </w:p>
    <w:p>
      <w:pPr>
        <w:pStyle w:val="Heading2"/>
      </w:pPr>
      <w:r>
        <w:rPr>
          <w:rFonts w:ascii="Calibri" w:hAnsi="Calibri"/>
          <w:color w:val="2E74B5"/>
          <w:sz w:val="24"/>
        </w:rPr>
        <w:t>Feature 5: Ejector Pin Marks</w:t>
      </w:r>
    </w:p>
    <w:p>
      <w:pPr>
        <w:spacing w:after="80"/>
      </w:pPr>
      <w:r>
        <w:rPr>
          <w:rFonts w:ascii="Calibri" w:hAnsi="Calibri"/>
          <w:b/>
          <w:sz w:val="22"/>
        </w:rPr>
        <w:t xml:space="preserve">Location: </w:t>
      </w:r>
      <w:r>
        <w:rPr>
          <w:rFonts w:ascii="Calibri" w:hAnsi="Calibri"/>
          <w:sz w:val="22"/>
        </w:rPr>
        <w:t>On the back (non-cosmetic) face of the female receiver — distributed across the main body panel, the corners, and the strap retention bars.</w:t>
      </w:r>
    </w:p>
    <w:p>
      <w:pPr>
        <w:spacing w:before="0" w:after="120" w:line="360" w:lineRule="exact"/>
      </w:pPr>
      <w:r>
        <w:rPr>
          <w:rFonts w:ascii="Calibri" w:hAnsi="Calibri"/>
          <w:b w:val="0"/>
          <w:i w:val="0"/>
          <w:sz w:val="22"/>
        </w:rPr>
        <w:t>Multiple small circular witness marks are clearly visible on the back face of the female receiver. Approximately eight to ten circular marks of approximately 2–3 mm diameter are observed, positioned at the corners of the main body, along the strap retention bars, and on the central panel. These marks are the impressions left by the ejector pins — the steel pins built into the mould that push the solidified part out of the mould cavity after cooling. All ejector pin marks are located exclusively on the back, non-cosmetic face of the part.</w:t>
      </w:r>
    </w:p>
    <w:p>
      <w:pPr>
        <w:spacing w:before="120" w:after="60"/>
        <w:jc w:val="center"/>
      </w:pPr>
      <w:r>
        <w:rPr>
          <w:rFonts w:ascii="Calibri" w:hAnsi="Calibri"/>
          <w:i/>
          <w:color w:val="707070"/>
          <w:sz w:val="20"/>
        </w:rPr>
        <w:t>[ INSERT PHOTO — Photo 4 — back face of assembled buckle showing ejector pin marks ]</w:t>
      </w:r>
    </w:p>
    <w:p>
      <w:pPr>
        <w:spacing w:after="200"/>
        <w:jc w:val="center"/>
      </w:pPr>
      <w:r>
        <w:rPr>
          <w:rFonts w:ascii="Calibri" w:hAnsi="Calibri"/>
          <w:i/>
          <w:sz w:val="18"/>
        </w:rPr>
        <w:t>Figure: Photo 4 — back face of assembled buckle showing ejector pin marks</w:t>
      </w:r>
    </w:p>
    <w:p>
      <w:pPr>
        <w:spacing w:before="120" w:after="60"/>
        <w:jc w:val="center"/>
      </w:pPr>
      <w:r>
        <w:rPr>
          <w:rFonts w:ascii="Calibri" w:hAnsi="Calibri"/>
          <w:i/>
          <w:color w:val="707070"/>
          <w:sz w:val="20"/>
        </w:rPr>
        <w:t>[ INSERT PHOTO — Photo 5 — back face, different lighting, ejector pin marks clearly visible ]</w:t>
      </w:r>
    </w:p>
    <w:p>
      <w:pPr>
        <w:spacing w:after="200"/>
        <w:jc w:val="center"/>
      </w:pPr>
      <w:r>
        <w:rPr>
          <w:rFonts w:ascii="Calibri" w:hAnsi="Calibri"/>
          <w:i/>
          <w:sz w:val="18"/>
        </w:rPr>
        <w:t>Figure: Photo 5 — back face, different lighting, ejector pin marks clearly visible</w:t>
      </w:r>
    </w:p>
    <w:p>
      <w:pPr>
        <w:spacing w:before="40" w:after="40"/>
        <w:pBdr>
          <w:bottom w:val="single" w:sz="6" w:space="1" w:color="BFBFBF"/>
        </w:pBdr>
      </w:pPr>
    </w:p>
    <w:p>
      <w:pPr>
        <w:pStyle w:val="Heading2"/>
      </w:pPr>
      <w:r>
        <w:rPr>
          <w:rFonts w:ascii="Calibri" w:hAnsi="Calibri"/>
          <w:color w:val="2E74B5"/>
          <w:sz w:val="24"/>
        </w:rPr>
        <w:t>Feature 6: Coring (Avoidance of Thick Sections)</w:t>
      </w:r>
    </w:p>
    <w:p>
      <w:pPr>
        <w:spacing w:after="80"/>
      </w:pPr>
      <w:r>
        <w:rPr>
          <w:rFonts w:ascii="Calibri" w:hAnsi="Calibri"/>
          <w:b/>
          <w:sz w:val="22"/>
        </w:rPr>
        <w:t xml:space="preserve">Location: </w:t>
      </w:r>
      <w:r>
        <w:rPr>
          <w:rFonts w:ascii="Calibri" w:hAnsi="Calibri"/>
          <w:sz w:val="22"/>
        </w:rPr>
        <w:t>(a) The hollow oval cavities inside the prong arms of the male insert. (b) The hollow channel underneath the snap arm latch of the male insert.</w:t>
      </w:r>
    </w:p>
    <w:p>
      <w:pPr>
        <w:spacing w:before="0" w:after="120" w:line="360" w:lineRule="exact"/>
      </w:pPr>
      <w:r>
        <w:rPr>
          <w:rFonts w:ascii="Calibri" w:hAnsi="Calibri"/>
          <w:b w:val="0"/>
          <w:i w:val="0"/>
          <w:sz w:val="22"/>
        </w:rPr>
        <w:t>Two distinct coring features are observed on the male insert. First, each of the two prong arms contains a large hollow oval cavity on its inner face rather than being a solid cross-section — this removes material from what would otherwise be a thick section. Second, the snap arm latch at the tip of the male insert is not a solid block but instead sits over a hollow cavity underneath, making the snap arm a thin, flexible beam rather than a solid mass. Both coring features serve to maintain uniform wall thickness throughout the male insert and prevent the creation of thick sections that would cause manufacturing defects.</w:t>
      </w:r>
    </w:p>
    <w:p>
      <w:pPr>
        <w:spacing w:before="120" w:after="60"/>
        <w:jc w:val="center"/>
      </w:pPr>
      <w:r>
        <w:rPr>
          <w:rFonts w:ascii="Calibri" w:hAnsi="Calibri"/>
          <w:i/>
          <w:color w:val="707070"/>
          <w:sz w:val="20"/>
        </w:rPr>
        <w:t>[ INSERT PHOTO — Photo 7 — front face of male insert showing hollow oval cavities in prong arms ]</w:t>
      </w:r>
    </w:p>
    <w:p>
      <w:pPr>
        <w:spacing w:after="200"/>
        <w:jc w:val="center"/>
      </w:pPr>
      <w:r>
        <w:rPr>
          <w:rFonts w:ascii="Calibri" w:hAnsi="Calibri"/>
          <w:i/>
          <w:sz w:val="18"/>
        </w:rPr>
        <w:t>Figure: Photo 7 — front face of male insert showing hollow oval cavities in prong arms</w:t>
      </w:r>
    </w:p>
    <w:p>
      <w:pPr>
        <w:spacing w:before="120" w:after="60"/>
        <w:jc w:val="center"/>
      </w:pPr>
      <w:r>
        <w:rPr>
          <w:rFonts w:ascii="Calibri" w:hAnsi="Calibri"/>
          <w:i/>
          <w:color w:val="707070"/>
          <w:sz w:val="20"/>
        </w:rPr>
        <w:t>[ INSERT PHOTO — Photo 8 — inner face of male insert showing coring cavities more clearly ]</w:t>
      </w:r>
    </w:p>
    <w:p>
      <w:pPr>
        <w:spacing w:after="200"/>
        <w:jc w:val="center"/>
      </w:pPr>
      <w:r>
        <w:rPr>
          <w:rFonts w:ascii="Calibri" w:hAnsi="Calibri"/>
          <w:i/>
          <w:sz w:val="18"/>
        </w:rPr>
        <w:t>Figure: Photo 8 — inner face of male insert showing coring cavities more clearly</w:t>
      </w:r>
    </w:p>
    <w:p>
      <w:pPr>
        <w:spacing w:before="120" w:after="60"/>
        <w:jc w:val="center"/>
      </w:pPr>
      <w:r>
        <w:rPr>
          <w:rFonts w:ascii="Calibri" w:hAnsi="Calibri"/>
          <w:i/>
          <w:color w:val="707070"/>
          <w:sz w:val="20"/>
        </w:rPr>
        <w:t>[ INSERT PHOTO — Photo 14 — side view of male insert showing hollow channel under snap arm ]</w:t>
      </w:r>
    </w:p>
    <w:p>
      <w:pPr>
        <w:spacing w:after="200"/>
        <w:jc w:val="center"/>
      </w:pPr>
      <w:r>
        <w:rPr>
          <w:rFonts w:ascii="Calibri" w:hAnsi="Calibri"/>
          <w:i/>
          <w:sz w:val="18"/>
        </w:rPr>
        <w:t>Figure: Photo 14 — side view of male insert showing hollow channel under snap arm</w:t>
      </w:r>
    </w:p>
    <w:p>
      <w:pPr>
        <w:spacing w:before="40" w:after="40"/>
        <w:pBdr>
          <w:bottom w:val="single" w:sz="6" w:space="1" w:color="BFBFBF"/>
        </w:pBdr>
      </w:pPr>
    </w:p>
    <w:p>
      <w:pPr>
        <w:pStyle w:val="Heading2"/>
      </w:pPr>
      <w:r>
        <w:rPr>
          <w:rFonts w:ascii="Calibri" w:hAnsi="Calibri"/>
          <w:color w:val="2E74B5"/>
          <w:sz w:val="24"/>
        </w:rPr>
        <w:t>Feature 7: Weld Lines</w:t>
      </w:r>
    </w:p>
    <w:p>
      <w:pPr>
        <w:spacing w:after="80"/>
      </w:pPr>
      <w:r>
        <w:rPr>
          <w:rFonts w:ascii="Calibri" w:hAnsi="Calibri"/>
          <w:b/>
          <w:sz w:val="22"/>
        </w:rPr>
        <w:t xml:space="preserve">Location: </w:t>
      </w:r>
      <w:r>
        <w:rPr>
          <w:rFonts w:ascii="Calibri" w:hAnsi="Calibri"/>
          <w:sz w:val="22"/>
        </w:rPr>
        <w:t>On the surface of the male insert's prong arms — fine lines running longitudinally along the length of each prong.</w:t>
      </w:r>
    </w:p>
    <w:p>
      <w:pPr>
        <w:spacing w:before="0" w:after="120" w:line="360" w:lineRule="exact"/>
      </w:pPr>
      <w:r>
        <w:rPr>
          <w:rFonts w:ascii="Calibri" w:hAnsi="Calibri"/>
          <w:b w:val="0"/>
          <w:i w:val="0"/>
          <w:sz w:val="22"/>
        </w:rPr>
        <w:t>Close inspection of the side surfaces of the male insert's prong arms reveals fine, faint lines running parallel to the length of the prong. These are weld lines — formed where two separate flow fronts of molten plastic met and fused during the injection moulding process. As the plastic was injected into the mould, the flow split to travel around the core pins that form the hollow oval coring cavities inside each prong arm, and rejoined on the other side, leaving a visible weld line at the point of convergence. The weld lines run along the lower surface of each prong arm and are most clearly visible under oblique lighting.</w:t>
      </w:r>
    </w:p>
    <w:p>
      <w:pPr>
        <w:spacing w:before="120" w:after="60"/>
        <w:jc w:val="center"/>
      </w:pPr>
      <w:r>
        <w:rPr>
          <w:rFonts w:ascii="Calibri" w:hAnsi="Calibri"/>
          <w:i/>
          <w:color w:val="707070"/>
          <w:sz w:val="20"/>
        </w:rPr>
        <w:t>[ INSERT PHOTO — Photo 11 — close-up of prong arm side surface showing weld lines as fine parallel lines ]</w:t>
      </w:r>
    </w:p>
    <w:p>
      <w:pPr>
        <w:spacing w:after="200"/>
        <w:jc w:val="center"/>
      </w:pPr>
      <w:r>
        <w:rPr>
          <w:rFonts w:ascii="Calibri" w:hAnsi="Calibri"/>
          <w:i/>
          <w:sz w:val="18"/>
        </w:rPr>
        <w:t>Figure: Photo 11 — close-up of prong arm side surface showing weld lines as fine parallel lines</w:t>
      </w:r>
    </w:p>
    <w:p>
      <w:pPr>
        <w:spacing w:before="120" w:after="60"/>
        <w:jc w:val="center"/>
      </w:pPr>
      <w:r>
        <w:rPr>
          <w:rFonts w:ascii="Calibri" w:hAnsi="Calibri"/>
          <w:i/>
          <w:color w:val="707070"/>
          <w:sz w:val="20"/>
        </w:rPr>
        <w:t>[ INSERT PHOTO — Photo 12 — angled view of both prongs showing weld lines on inner prong faces ]</w:t>
      </w:r>
    </w:p>
    <w:p>
      <w:pPr>
        <w:spacing w:after="200"/>
        <w:jc w:val="center"/>
      </w:pPr>
      <w:r>
        <w:rPr>
          <w:rFonts w:ascii="Calibri" w:hAnsi="Calibri"/>
          <w:i/>
          <w:sz w:val="18"/>
        </w:rPr>
        <w:t>Figure: Photo 12 — angled view of both prongs showing weld lines on inner prong faces</w:t>
      </w:r>
    </w:p>
    <w:p>
      <w:pPr>
        <w:spacing w:before="40" w:after="40"/>
        <w:pBdr>
          <w:bottom w:val="single" w:sz="6" w:space="1" w:color="BFBFBF"/>
        </w:pBdr>
      </w:pPr>
    </w:p>
    <w:p>
      <w:pPr>
        <w:pStyle w:val="Heading2"/>
      </w:pPr>
      <w:r>
        <w:rPr>
          <w:rFonts w:ascii="Calibri" w:hAnsi="Calibri"/>
          <w:color w:val="2E74B5"/>
          <w:sz w:val="24"/>
        </w:rPr>
        <w:t>Feature 8: Gate Vestige</w:t>
      </w:r>
    </w:p>
    <w:p>
      <w:pPr>
        <w:spacing w:after="80"/>
      </w:pPr>
      <w:r>
        <w:rPr>
          <w:rFonts w:ascii="Calibri" w:hAnsi="Calibri"/>
          <w:b/>
          <w:sz w:val="22"/>
        </w:rPr>
        <w:t xml:space="preserve">Location: </w:t>
      </w:r>
      <w:r>
        <w:rPr>
          <w:rFonts w:ascii="Calibri" w:hAnsi="Calibri"/>
          <w:sz w:val="22"/>
        </w:rPr>
        <w:t>On the top surface of the snap bar of the male insert — a small raised circular nub on a non-functional, non-cosmetic surface.</w:t>
      </w:r>
    </w:p>
    <w:p>
      <w:pPr>
        <w:spacing w:before="0" w:after="120" w:line="360" w:lineRule="exact"/>
      </w:pPr>
      <w:r>
        <w:rPr>
          <w:rFonts w:ascii="Calibri" w:hAnsi="Calibri"/>
          <w:b w:val="0"/>
          <w:i w:val="0"/>
          <w:sz w:val="22"/>
        </w:rPr>
        <w:t>A small raised circular nub is visible on the top surface of the central snap bar of the male insert. This is the gate vestige — the remnant of the injection gate, which is the opening through which molten plastic was injected into the mould cavity. After the part was ejected from the mould, the gate was trimmed, leaving this small raised mark. The gate is positioned on the top of the snap bar — a surface that faces inward when the buckle is assembled and is therefore not visible in normal use, confirming that it is a non-cosmetic, non-functional surface.</w:t>
      </w:r>
    </w:p>
    <w:p>
      <w:pPr>
        <w:spacing w:before="120" w:after="60"/>
        <w:jc w:val="center"/>
      </w:pPr>
      <w:r>
        <w:rPr>
          <w:rFonts w:ascii="Calibri" w:hAnsi="Calibri"/>
          <w:i/>
          <w:color w:val="707070"/>
          <w:sz w:val="20"/>
        </w:rPr>
        <w:t>[ INSERT PHOTO — Photo 15 — close-up of snap bar top showing the circular gate vestige nub ]</w:t>
      </w:r>
    </w:p>
    <w:p>
      <w:pPr>
        <w:spacing w:after="200"/>
        <w:jc w:val="center"/>
      </w:pPr>
      <w:r>
        <w:rPr>
          <w:rFonts w:ascii="Calibri" w:hAnsi="Calibri"/>
          <w:i/>
          <w:sz w:val="18"/>
        </w:rPr>
        <w:t>Figure: Photo 15 — close-up of snap bar top showing the circular gate vestige nub</w:t>
      </w:r>
    </w:p>
    <w:p>
      <w:pPr>
        <w:spacing w:before="40" w:after="40"/>
        <w:pBdr>
          <w:bottom w:val="single" w:sz="6" w:space="1" w:color="BFBFBF"/>
        </w:pBdr>
      </w:pPr>
    </w:p>
    <w:p>
      <w:pPr>
        <w:pStyle w:val="Heading1"/>
      </w:pPr>
      <w:r>
        <w:rPr>
          <w:rFonts w:ascii="Calibri" w:hAnsi="Calibri"/>
          <w:color w:val="1F497D"/>
          <w:sz w:val="28"/>
        </w:rPr>
        <w:t>3.0  Criteria 2: Product Features Analysis</w:t>
      </w:r>
    </w:p>
    <w:p>
      <w:pPr>
        <w:pStyle w:val="Heading2"/>
      </w:pPr>
      <w:r>
        <w:rPr>
          <w:rFonts w:ascii="Calibri" w:hAnsi="Calibri"/>
          <w:color w:val="2E74B5"/>
          <w:sz w:val="24"/>
        </w:rPr>
        <w:t>Feature 1 Analysis: Parting Line</w:t>
      </w:r>
    </w:p>
    <w:p>
      <w:pPr>
        <w:pStyle w:val="ListBullet"/>
        <w:spacing w:after="60" w:line="340" w:lineRule="exact"/>
      </w:pPr>
      <w:r>
        <w:rPr>
          <w:rFonts w:ascii="Calibri" w:hAnsi="Calibri"/>
          <w:sz w:val="22"/>
        </w:rPr>
        <w:t>Locating the parting line at the widest cross-section of the part ensures the mould can open in a single direction (straight pull) without the tool geometry interfering with part release. This eliminates the need for side-actions or lifters at the parting line, simplifying the tool and reducing cost.</w:t>
      </w:r>
    </w:p>
    <w:p>
      <w:pPr>
        <w:pStyle w:val="ListBullet"/>
        <w:spacing w:after="60" w:line="340" w:lineRule="exact"/>
      </w:pPr>
      <w:r>
        <w:rPr>
          <w:rFonts w:ascii="Calibri" w:hAnsi="Calibri"/>
          <w:sz w:val="22"/>
        </w:rPr>
        <w:t>The clean, consistent parting line observed on both components indicates the two mould halves were precision-machined and fitted to very close tolerances. A mismatch in mould halves would result in a visible step at the parting line and would produce flash during moulding.</w:t>
      </w:r>
    </w:p>
    <w:p>
      <w:pPr>
        <w:pStyle w:val="ListBullet"/>
        <w:spacing w:after="60" w:line="340" w:lineRule="exact"/>
      </w:pPr>
      <w:r>
        <w:rPr>
          <w:rFonts w:ascii="Calibri" w:hAnsi="Calibri"/>
          <w:sz w:val="22"/>
        </w:rPr>
        <w:t>The parting line is positioned on the side edges of the buckle, away from the cosmetic front and back faces. This is correct DfM practice — parting lines on cosmetic faces are undesirable as they are difficult to hide and require additional post-processing such as sanding.</w:t>
      </w:r>
    </w:p>
    <w:p>
      <w:pPr>
        <w:pStyle w:val="ListBullet"/>
        <w:spacing w:after="60" w:line="340" w:lineRule="exact"/>
      </w:pPr>
      <w:r>
        <w:rPr>
          <w:rFonts w:ascii="Calibri" w:hAnsi="Calibri"/>
          <w:sz w:val="22"/>
        </w:rPr>
        <w:t>The absence of any parting line displacement or misregistration indicates that the mould clamping system was functioning correctly during production, maintaining precise alignment of the two halves under injection pressure.</w:t>
      </w:r>
    </w:p>
    <w:p>
      <w:pPr>
        <w:spacing w:before="40" w:after="40"/>
        <w:pBdr>
          <w:bottom w:val="single" w:sz="6" w:space="1" w:color="BFBFBF"/>
        </w:pBdr>
      </w:pPr>
    </w:p>
    <w:p>
      <w:pPr>
        <w:pStyle w:val="Heading2"/>
      </w:pPr>
      <w:r>
        <w:rPr>
          <w:rFonts w:ascii="Calibri" w:hAnsi="Calibri"/>
          <w:color w:val="2E74B5"/>
          <w:sz w:val="24"/>
        </w:rPr>
        <w:t>Feature 2 Analysis: Draft Angles</w:t>
      </w:r>
    </w:p>
    <w:p>
      <w:pPr>
        <w:pStyle w:val="ListBullet"/>
        <w:spacing w:after="60" w:line="340" w:lineRule="exact"/>
      </w:pPr>
      <w:r>
        <w:rPr>
          <w:rFonts w:ascii="Calibri" w:hAnsi="Calibri"/>
          <w:sz w:val="22"/>
        </w:rPr>
        <w:t>Draft angles allow the solidified plastic part to release cleanly from the mould cavity and core during ejection. Without draft, the walls of the part would be in full contact with the mould steel along their entire length, creating friction that resists ejection and causes drag marks, scratching, or part distortion.</w:t>
      </w:r>
    </w:p>
    <w:p>
      <w:pPr>
        <w:pStyle w:val="ListBullet"/>
        <w:spacing w:after="60" w:line="340" w:lineRule="exact"/>
      </w:pPr>
      <w:r>
        <w:rPr>
          <w:rFonts w:ascii="Calibri" w:hAnsi="Calibri"/>
          <w:sz w:val="22"/>
        </w:rPr>
        <w:t>The estimated draft angle of 1°–2° observed on this buckle is within the standard recommended range for injection-moulded thermoplastics (1°–3° for smooth surfaces). This is appropriate for the part geometry and ensures clean ejection without requiring excessive ejection force that could damage the part or the mould.</w:t>
      </w:r>
    </w:p>
    <w:p>
      <w:pPr>
        <w:pStyle w:val="ListBullet"/>
        <w:spacing w:after="60" w:line="340" w:lineRule="exact"/>
      </w:pPr>
      <w:r>
        <w:rPr>
          <w:rFonts w:ascii="Calibri" w:hAnsi="Calibri"/>
          <w:sz w:val="22"/>
        </w:rPr>
        <w:t>The consistent taper along the full length of the prong arms indicates the mould was designed with uniform draft throughout, which also ensures even mould fill and consistent wall thickness along the draw direction.</w:t>
      </w:r>
    </w:p>
    <w:p>
      <w:pPr>
        <w:pStyle w:val="ListBullet"/>
        <w:spacing w:after="60" w:line="340" w:lineRule="exact"/>
      </w:pPr>
      <w:r>
        <w:rPr>
          <w:rFonts w:ascii="Calibri" w:hAnsi="Calibri"/>
          <w:sz w:val="22"/>
        </w:rPr>
        <w:t>Insufficient or absent draft angles would cause the ejector pins to have to overcome stiction between the part and the mould wall, risking part distortion, ejector pin puncture, or mould damage in repeated production runs.</w:t>
      </w:r>
    </w:p>
    <w:p>
      <w:pPr>
        <w:spacing w:before="40" w:after="40"/>
        <w:pBdr>
          <w:bottom w:val="single" w:sz="6" w:space="1" w:color="BFBFBF"/>
        </w:pBdr>
      </w:pPr>
    </w:p>
    <w:p>
      <w:pPr>
        <w:pStyle w:val="Heading2"/>
      </w:pPr>
      <w:r>
        <w:rPr>
          <w:rFonts w:ascii="Calibri" w:hAnsi="Calibri"/>
          <w:color w:val="2E74B5"/>
          <w:sz w:val="24"/>
        </w:rPr>
        <w:t>Feature 3 Analysis: Nominal Wall Thickness</w:t>
      </w:r>
    </w:p>
    <w:p>
      <w:pPr>
        <w:pStyle w:val="ListBullet"/>
        <w:spacing w:after="60" w:line="340" w:lineRule="exact"/>
      </w:pPr>
      <w:r>
        <w:rPr>
          <w:rFonts w:ascii="Calibri" w:hAnsi="Calibri"/>
          <w:sz w:val="22"/>
        </w:rPr>
        <w:t>Uniform wall thickness ensures the molten plastic flows evenly through the mould cavity from the gate, reaching all sections of the part before solidification begins. Non-uniform walls cause the melt to preferentially fill thicker sections while thinner sections may solidify prematurely, causing short shots or incomplete fill.</w:t>
      </w:r>
    </w:p>
    <w:p>
      <w:pPr>
        <w:pStyle w:val="ListBullet"/>
        <w:spacing w:after="60" w:line="340" w:lineRule="exact"/>
      </w:pPr>
      <w:r>
        <w:rPr>
          <w:rFonts w:ascii="Calibri" w:hAnsi="Calibri"/>
          <w:sz w:val="22"/>
        </w:rPr>
        <w:t>Uniform wall thickness means all sections of the part cool and solidify at approximately the same rate. Differential cooling between thick and thin sections causes differential shrinkage — thick areas shrink more, pulling the part out of shape and causing warping, residual internal stress, and dimensional inaccuracy.</w:t>
      </w:r>
    </w:p>
    <w:p>
      <w:pPr>
        <w:pStyle w:val="ListBullet"/>
        <w:spacing w:after="60" w:line="340" w:lineRule="exact"/>
      </w:pPr>
      <w:r>
        <w:rPr>
          <w:rFonts w:ascii="Calibri" w:hAnsi="Calibri"/>
          <w:sz w:val="22"/>
        </w:rPr>
        <w:t>The consistent wall thickness observed on this buckle, including on the strap retention bars, indicates the designer adhered to uniform wall thickness principles throughout, which is a key DfM requirement.</w:t>
      </w:r>
    </w:p>
    <w:p>
      <w:pPr>
        <w:pStyle w:val="ListBullet"/>
        <w:spacing w:after="60" w:line="340" w:lineRule="exact"/>
      </w:pPr>
      <w:r>
        <w:rPr>
          <w:rFonts w:ascii="Calibri" w:hAnsi="Calibri"/>
          <w:sz w:val="22"/>
        </w:rPr>
        <w:t>The slightly thinner walls on the snap arm of the male insert are intentional — the snap arm must deflect elastically during insertion and then spring back to lock. This is a functional design requirement, and the thickness is still within the acceptable minimum for the material.</w:t>
      </w:r>
    </w:p>
    <w:p>
      <w:pPr>
        <w:spacing w:before="40" w:after="40"/>
        <w:pBdr>
          <w:bottom w:val="single" w:sz="6" w:space="1" w:color="BFBFBF"/>
        </w:pBdr>
      </w:pPr>
    </w:p>
    <w:p>
      <w:pPr>
        <w:pStyle w:val="Heading2"/>
      </w:pPr>
      <w:r>
        <w:rPr>
          <w:rFonts w:ascii="Calibri" w:hAnsi="Calibri"/>
          <w:color w:val="2E74B5"/>
          <w:sz w:val="24"/>
        </w:rPr>
        <w:t>Feature 4 Analysis: Flash — Absence of Flash</w:t>
      </w:r>
    </w:p>
    <w:p>
      <w:pPr>
        <w:pStyle w:val="ListBullet"/>
        <w:spacing w:after="60" w:line="340" w:lineRule="exact"/>
      </w:pPr>
      <w:r>
        <w:rPr>
          <w:rFonts w:ascii="Calibri" w:hAnsi="Calibri"/>
          <w:sz w:val="22"/>
        </w:rPr>
        <w:t>The two mould halves were precision-machined to match at the parting line with no gaps. Any gap greater than approximately 0.05 mm would allow the low-viscosity melt to bleed through under injection pressure, creating flash.</w:t>
      </w:r>
    </w:p>
    <w:p>
      <w:pPr>
        <w:pStyle w:val="ListBullet"/>
        <w:spacing w:after="60" w:line="340" w:lineRule="exact"/>
      </w:pPr>
      <w:r>
        <w:rPr>
          <w:rFonts w:ascii="Calibri" w:hAnsi="Calibri"/>
          <w:sz w:val="22"/>
        </w:rPr>
        <w:t>The clamping tonnage of the injection moulding machine was appropriately matched to the projected area of the buckle. Insufficient clamp force allows injection pressure to force the mould halves apart slightly, opening a gap at the parting line and allowing plastic to escape as flash.</w:t>
      </w:r>
    </w:p>
    <w:p>
      <w:pPr>
        <w:pStyle w:val="ListBullet"/>
        <w:spacing w:after="60" w:line="340" w:lineRule="exact"/>
      </w:pPr>
      <w:r>
        <w:rPr>
          <w:rFonts w:ascii="Calibri" w:hAnsi="Calibri"/>
          <w:sz w:val="22"/>
        </w:rPr>
        <w:t>Injection pressure and injection speed were kept within the correct process window — excessive injection pressure increases the force trying to open the mould and is a common cause of flash in production.</w:t>
      </w:r>
    </w:p>
    <w:p>
      <w:pPr>
        <w:pStyle w:val="ListBullet"/>
        <w:spacing w:after="60" w:line="340" w:lineRule="exact"/>
      </w:pPr>
      <w:r>
        <w:rPr>
          <w:rFonts w:ascii="Calibri" w:hAnsi="Calibri"/>
          <w:sz w:val="22"/>
        </w:rPr>
        <w:t>The mould venting channels were sized correctly. Oversized venting channels can allow molten plastic to enter and create flash at vent locations. The mould was also well-maintained, with no debris or contamination on the mating faces.</w:t>
      </w:r>
    </w:p>
    <w:p>
      <w:pPr>
        <w:spacing w:before="40" w:after="40"/>
        <w:pBdr>
          <w:bottom w:val="single" w:sz="6" w:space="1" w:color="BFBFBF"/>
        </w:pBdr>
      </w:pPr>
    </w:p>
    <w:p>
      <w:pPr>
        <w:pStyle w:val="Heading2"/>
      </w:pPr>
      <w:r>
        <w:rPr>
          <w:rFonts w:ascii="Calibri" w:hAnsi="Calibri"/>
          <w:color w:val="2E74B5"/>
          <w:sz w:val="24"/>
        </w:rPr>
        <w:t>Feature 5 Analysis: Ejector Pin Marks</w:t>
      </w:r>
    </w:p>
    <w:p>
      <w:pPr>
        <w:pStyle w:val="ListBullet"/>
        <w:spacing w:after="60" w:line="340" w:lineRule="exact"/>
      </w:pPr>
      <w:r>
        <w:rPr>
          <w:rFonts w:ascii="Calibri" w:hAnsi="Calibri"/>
          <w:sz w:val="22"/>
        </w:rPr>
        <w:t>All ejector pin marks are located exclusively on the non-cosmetic back face of the female receiver. This is the correct DfM practice — pins should always be placed on non-cosmetic surfaces to avoid visible marks on faces that affect the product's appearance or perceived quality.</w:t>
      </w:r>
    </w:p>
    <w:p>
      <w:pPr>
        <w:pStyle w:val="ListBullet"/>
        <w:spacing w:after="60" w:line="340" w:lineRule="exact"/>
      </w:pPr>
      <w:r>
        <w:rPr>
          <w:rFonts w:ascii="Calibri" w:hAnsi="Calibri"/>
          <w:sz w:val="22"/>
        </w:rPr>
        <w:t>The distribution of pins across the corners, central panel, and strap bars ensures the ejection force is spread over a wide area. Concentrating all ejection force on too few pins would cause the force per unit area to exceed the strength of the still-warm plastic, punching through the surface or distorting the part.</w:t>
      </w:r>
    </w:p>
    <w:p>
      <w:pPr>
        <w:pStyle w:val="ListBullet"/>
        <w:spacing w:after="60" w:line="340" w:lineRule="exact"/>
      </w:pPr>
      <w:r>
        <w:rPr>
          <w:rFonts w:ascii="Calibri" w:hAnsi="Calibri"/>
          <w:sz w:val="22"/>
        </w:rPr>
        <w:t>The circular marks are flush with the surrounding surface with no raised ring around them, indicating the pins were correctly sized and their faces were ground flush with the mould cavity surface. Pins that protrude too far create raised marks; pins that are recessed create pits.</w:t>
      </w:r>
    </w:p>
    <w:p>
      <w:pPr>
        <w:pStyle w:val="ListBullet"/>
        <w:spacing w:after="60" w:line="340" w:lineRule="exact"/>
      </w:pPr>
      <w:r>
        <w:rPr>
          <w:rFonts w:ascii="Calibri" w:hAnsi="Calibri"/>
          <w:sz w:val="22"/>
        </w:rPr>
        <w:t>The number of ejector pins observed (approximately eight to ten) is appropriate for the part size and geometry, providing sufficient total ejection force to overcome friction between the part and the mould steel without marking the cosmetic face.</w:t>
      </w:r>
    </w:p>
    <w:p>
      <w:pPr>
        <w:spacing w:before="40" w:after="40"/>
        <w:pBdr>
          <w:bottom w:val="single" w:sz="6" w:space="1" w:color="BFBFBF"/>
        </w:pBdr>
      </w:pPr>
    </w:p>
    <w:p>
      <w:pPr>
        <w:pStyle w:val="Heading2"/>
      </w:pPr>
      <w:r>
        <w:rPr>
          <w:rFonts w:ascii="Calibri" w:hAnsi="Calibri"/>
          <w:color w:val="2E74B5"/>
          <w:sz w:val="24"/>
        </w:rPr>
        <w:t>Feature 6 Analysis: Coring (Avoidance of Thick Sections)</w:t>
      </w:r>
    </w:p>
    <w:p>
      <w:pPr>
        <w:pStyle w:val="ListBullet"/>
        <w:spacing w:after="60" w:line="340" w:lineRule="exact"/>
      </w:pPr>
      <w:r>
        <w:rPr>
          <w:rFonts w:ascii="Calibri" w:hAnsi="Calibri"/>
          <w:sz w:val="22"/>
        </w:rPr>
        <w:t>The hollow oval cavities inside the prong arms remove material from what would otherwise be a very thick cross-section. Without coring, the prong arms would be solid blocks of plastic significantly thicker than the surrounding wall sections, creating a severe differential cooling condition.</w:t>
      </w:r>
    </w:p>
    <w:p>
      <w:pPr>
        <w:pStyle w:val="ListBullet"/>
        <w:spacing w:after="60" w:line="340" w:lineRule="exact"/>
      </w:pPr>
      <w:r>
        <w:rPr>
          <w:rFonts w:ascii="Calibri" w:hAnsi="Calibri"/>
          <w:sz w:val="22"/>
        </w:rPr>
        <w:t>Differential cooling in a thick, uncored section causes the outer skin of the plastic to solidify first while the interior remains molten. As the interior then cools and shrinks, it pulls the outer skin inward, creating a visible sink mark on the opposite cosmetic surface. The coring of the prong arms prevents this.</w:t>
      </w:r>
    </w:p>
    <w:p>
      <w:pPr>
        <w:pStyle w:val="ListBullet"/>
        <w:spacing w:after="60" w:line="340" w:lineRule="exact"/>
      </w:pPr>
      <w:r>
        <w:rPr>
          <w:rFonts w:ascii="Calibri" w:hAnsi="Calibri"/>
          <w:sz w:val="22"/>
        </w:rPr>
        <w:t>Coring also reduces the total volume of plastic in the part, which directly reduces material cost per part and shortens the cooling cycle time — a critical factor in high-volume injection moulding where cycle time determines productivity.</w:t>
      </w:r>
    </w:p>
    <w:p>
      <w:pPr>
        <w:pStyle w:val="ListBullet"/>
        <w:spacing w:after="60" w:line="340" w:lineRule="exact"/>
      </w:pPr>
      <w:r>
        <w:rPr>
          <w:rFonts w:ascii="Calibri" w:hAnsi="Calibri"/>
          <w:sz w:val="22"/>
        </w:rPr>
        <w:t>The hollow channel under the snap arm serves a dual purpose: it removes material to maintain uniform wall thickness in the snap arm section, and it creates the free-standing thin beam geometry that allows the snap arm to deflect elastically during buckle engagement. This is coring serving both a DfM and a functional purpose simultaneously.</w:t>
      </w:r>
    </w:p>
    <w:p>
      <w:pPr>
        <w:spacing w:before="40" w:after="40"/>
        <w:pBdr>
          <w:bottom w:val="single" w:sz="6" w:space="1" w:color="BFBFBF"/>
        </w:pBdr>
      </w:pPr>
    </w:p>
    <w:p>
      <w:pPr>
        <w:pStyle w:val="Heading2"/>
      </w:pPr>
      <w:r>
        <w:rPr>
          <w:rFonts w:ascii="Calibri" w:hAnsi="Calibri"/>
          <w:color w:val="2E74B5"/>
          <w:sz w:val="24"/>
        </w:rPr>
        <w:t>Feature 7 Analysis: Weld Lines</w:t>
      </w:r>
    </w:p>
    <w:p>
      <w:pPr>
        <w:pStyle w:val="ListBullet"/>
        <w:spacing w:after="60" w:line="340" w:lineRule="exact"/>
      </w:pPr>
      <w:r>
        <w:rPr>
          <w:rFonts w:ascii="Calibri" w:hAnsi="Calibri"/>
          <w:sz w:val="22"/>
        </w:rPr>
        <w:t>Weld lines form wherever the injected plastic melt splits to flow around an obstacle (such as a core pin forming a hole or slot) and the two flow fronts reunite on the other side. Because the two fronts meet at a lower temperature and pressure than the original injected melt, the molecular entanglement at a weld line is lower than in the base material, making weld lines areas of reduced mechanical strength.</w:t>
      </w:r>
    </w:p>
    <w:p>
      <w:pPr>
        <w:pStyle w:val="ListBullet"/>
        <w:spacing w:after="60" w:line="340" w:lineRule="exact"/>
      </w:pPr>
      <w:r>
        <w:rPr>
          <w:rFonts w:ascii="Calibri" w:hAnsi="Calibri"/>
          <w:sz w:val="22"/>
        </w:rPr>
        <w:t>On this buckle, the weld lines on the prong arms result from the flow splitting around the core pins that form the hollow oval coring cavities. They are unavoidable given the coring geometry — coring and weld lines are an inherent trade-off.</w:t>
      </w:r>
    </w:p>
    <w:p>
      <w:pPr>
        <w:pStyle w:val="ListBullet"/>
        <w:spacing w:after="60" w:line="340" w:lineRule="exact"/>
      </w:pPr>
      <w:r>
        <w:rPr>
          <w:rFonts w:ascii="Calibri" w:hAnsi="Calibri"/>
          <w:sz w:val="22"/>
        </w:rPr>
        <w:t>Importantly, the weld lines are positioned along the lower surface of the prong arms, away from the snap hook tip where stress concentrations are highest during buckle engagement. This indicates that the gate position was deliberately chosen to direct the flow such that weld lines form in lower-stress regions.</w:t>
      </w:r>
    </w:p>
    <w:p>
      <w:pPr>
        <w:pStyle w:val="ListBullet"/>
        <w:spacing w:after="60" w:line="340" w:lineRule="exact"/>
      </w:pPr>
      <w:r>
        <w:rPr>
          <w:rFonts w:ascii="Calibri" w:hAnsi="Calibri"/>
          <w:sz w:val="22"/>
        </w:rPr>
        <w:t>The weld lines observed are faint and well-fused, suggesting melt temperature, injection speed, and injection pressure were all within the correct process window — conditions that maximise molecular bonding across the weld line and minimise strength loss.</w:t>
      </w:r>
    </w:p>
    <w:p>
      <w:pPr>
        <w:spacing w:before="40" w:after="40"/>
        <w:pBdr>
          <w:bottom w:val="single" w:sz="6" w:space="1" w:color="BFBFBF"/>
        </w:pBdr>
      </w:pPr>
    </w:p>
    <w:p>
      <w:pPr>
        <w:pStyle w:val="Heading2"/>
      </w:pPr>
      <w:r>
        <w:rPr>
          <w:rFonts w:ascii="Calibri" w:hAnsi="Calibri"/>
          <w:color w:val="2E74B5"/>
          <w:sz w:val="24"/>
        </w:rPr>
        <w:t>Feature 8 Analysis: Gate Vestige</w:t>
      </w:r>
    </w:p>
    <w:p>
      <w:pPr>
        <w:pStyle w:val="ListBullet"/>
        <w:spacing w:after="60" w:line="340" w:lineRule="exact"/>
      </w:pPr>
      <w:r>
        <w:rPr>
          <w:rFonts w:ascii="Calibri" w:hAnsi="Calibri"/>
          <w:sz w:val="22"/>
        </w:rPr>
        <w:t>The gate is positioned on the top surface of the central snap bar — a surface that faces inward when the two buckle components are assembled, making it completely hidden in normal use. This is correct gate placement practice — gates should always be located on non-cosmetic surfaces where the vestige will not affect the product's appearance.</w:t>
      </w:r>
    </w:p>
    <w:p>
      <w:pPr>
        <w:pStyle w:val="ListBullet"/>
        <w:spacing w:after="60" w:line="340" w:lineRule="exact"/>
      </w:pPr>
      <w:r>
        <w:rPr>
          <w:rFonts w:ascii="Calibri" w:hAnsi="Calibri"/>
          <w:sz w:val="22"/>
        </w:rPr>
        <w:t>The small size of the gate vestige indicates the gate was appropriately sized for the part volume and wall thickness. A gate that is too small creates excessive shear stress in the melt, which can degrade the polymer. A gate that is too large leaves an oversized vestige requiring heavy trimming that can damage the part surface.</w:t>
      </w:r>
    </w:p>
    <w:p>
      <w:pPr>
        <w:pStyle w:val="ListBullet"/>
        <w:spacing w:after="60" w:line="340" w:lineRule="exact"/>
      </w:pPr>
      <w:r>
        <w:rPr>
          <w:rFonts w:ascii="Calibri" w:hAnsi="Calibri"/>
          <w:sz w:val="22"/>
        </w:rPr>
        <w:t>The gate position at the thickest cross-section of the male insert is strategically sound from a flow perspective. Injecting at the thickest section means the melt fills the thick area first and flows outward into the thinner prong arm sections — the preferred fill pattern that avoids hesitation marks and short shots.</w:t>
      </w:r>
    </w:p>
    <w:p>
      <w:pPr>
        <w:pStyle w:val="ListBullet"/>
        <w:spacing w:after="60" w:line="340" w:lineRule="exact"/>
      </w:pPr>
      <w:r>
        <w:rPr>
          <w:rFonts w:ascii="Calibri" w:hAnsi="Calibri"/>
          <w:sz w:val="22"/>
        </w:rPr>
        <w:t>The rounded, trimmed profile of the vestige indicates it was de-gated cleanly after ejection, either by automated cutting or manual trimming, without tearing or pulling the gate material below the part surface.</w:t>
      </w:r>
    </w:p>
    <w:p>
      <w:pPr>
        <w:spacing w:before="40" w:after="40"/>
        <w:pBdr>
          <w:bottom w:val="single" w:sz="6" w:space="1" w:color="BFBFBF"/>
        </w:pBdr>
      </w:pPr>
    </w:p>
    <w:p>
      <w:pPr>
        <w:pStyle w:val="Heading1"/>
      </w:pPr>
      <w:r>
        <w:rPr>
          <w:rFonts w:ascii="Calibri" w:hAnsi="Calibri"/>
          <w:color w:val="1F497D"/>
          <w:sz w:val="28"/>
        </w:rPr>
        <w:t>4.0  Conclusion</w:t>
      </w:r>
    </w:p>
    <w:p>
      <w:pPr>
        <w:spacing w:before="0" w:after="120" w:line="360" w:lineRule="exact"/>
      </w:pPr>
      <w:r>
        <w:rPr>
          <w:rFonts w:ascii="Calibri" w:hAnsi="Calibri"/>
          <w:b w:val="0"/>
          <w:i w:val="0"/>
          <w:sz w:val="22"/>
        </w:rPr>
        <w:t>The investigation of the 2" (50mm) plastic quick-release buckle reveals a product that has been designed and manufactured with a sound understanding of injection moulding principles and Design for Manufacturability (DfM). Eight distinct manufacturing features were identified and analysed.</w:t>
      </w:r>
    </w:p>
    <w:p>
      <w:pPr>
        <w:spacing w:before="0" w:after="120" w:line="360" w:lineRule="exact"/>
      </w:pPr>
      <w:r>
        <w:rPr>
          <w:rFonts w:ascii="Calibri" w:hAnsi="Calibri"/>
          <w:b w:val="0"/>
          <w:i w:val="0"/>
          <w:sz w:val="22"/>
        </w:rPr>
        <w:t>The key strengths of this product's tooling and moulding approach are:</w:t>
      </w:r>
    </w:p>
    <w:p>
      <w:pPr>
        <w:pStyle w:val="ListBullet"/>
        <w:spacing w:after="60" w:line="340" w:lineRule="exact"/>
      </w:pPr>
      <w:r>
        <w:rPr>
          <w:rFonts w:ascii="Calibri" w:hAnsi="Calibri"/>
          <w:sz w:val="22"/>
        </w:rPr>
        <w:t>The parting line is correctly positioned at the mid-plane and on non-cosmetic side faces, enabling a simple straight-pull mould tool without side-actions.</w:t>
      </w:r>
    </w:p>
    <w:p>
      <w:pPr>
        <w:pStyle w:val="ListBullet"/>
        <w:spacing w:after="60" w:line="340" w:lineRule="exact"/>
      </w:pPr>
      <w:r>
        <w:rPr>
          <w:rFonts w:ascii="Calibri" w:hAnsi="Calibri"/>
          <w:sz w:val="22"/>
        </w:rPr>
        <w:t>Adequate draft angles are present on all vertical walls, ensuring clean ejection without drag marks or part distortion.</w:t>
      </w:r>
    </w:p>
    <w:p>
      <w:pPr>
        <w:pStyle w:val="ListBullet"/>
        <w:spacing w:after="60" w:line="340" w:lineRule="exact"/>
      </w:pPr>
      <w:r>
        <w:rPr>
          <w:rFonts w:ascii="Calibri" w:hAnsi="Calibri"/>
          <w:sz w:val="22"/>
        </w:rPr>
        <w:t>Uniform nominal wall thickness throughout both components prevents warping, differential shrinkage, and ensures consistent mould filling.</w:t>
      </w:r>
    </w:p>
    <w:p>
      <w:pPr>
        <w:pStyle w:val="ListBullet"/>
        <w:spacing w:after="60" w:line="340" w:lineRule="exact"/>
      </w:pPr>
      <w:r>
        <w:rPr>
          <w:rFonts w:ascii="Calibri" w:hAnsi="Calibri"/>
          <w:sz w:val="22"/>
        </w:rPr>
        <w:t>The complete absence of flash demonstrates a precision-machined, well-maintained tool operated within correct process parameters.</w:t>
      </w:r>
    </w:p>
    <w:p>
      <w:pPr>
        <w:pStyle w:val="ListBullet"/>
        <w:spacing w:after="60" w:line="340" w:lineRule="exact"/>
      </w:pPr>
      <w:r>
        <w:rPr>
          <w:rFonts w:ascii="Calibri" w:hAnsi="Calibri"/>
          <w:sz w:val="22"/>
        </w:rPr>
        <w:t>Ejector pin marks are confined to non-cosmetic surfaces with appropriate distribution of pins to prevent part damage during ejection.</w:t>
      </w:r>
    </w:p>
    <w:p>
      <w:pPr>
        <w:pStyle w:val="ListBullet"/>
        <w:spacing w:after="60" w:line="340" w:lineRule="exact"/>
      </w:pPr>
      <w:r>
        <w:rPr>
          <w:rFonts w:ascii="Calibri" w:hAnsi="Calibri"/>
          <w:sz w:val="22"/>
        </w:rPr>
        <w:t>The coring features in the male insert effectively eliminate thick sections, preventing sink marks and reducing cycle time and material cost.</w:t>
      </w:r>
    </w:p>
    <w:p>
      <w:pPr>
        <w:pStyle w:val="ListBullet"/>
        <w:spacing w:after="60" w:line="340" w:lineRule="exact"/>
      </w:pPr>
      <w:r>
        <w:rPr>
          <w:rFonts w:ascii="Calibri" w:hAnsi="Calibri"/>
          <w:sz w:val="22"/>
        </w:rPr>
        <w:t>Weld lines, while unavoidable given the cored geometry, are positioned in lower-stress areas of the prong arms, minimising their impact on structural performance.</w:t>
      </w:r>
    </w:p>
    <w:p>
      <w:pPr>
        <w:pStyle w:val="ListBullet"/>
        <w:spacing w:after="60" w:line="340" w:lineRule="exact"/>
      </w:pPr>
      <w:r>
        <w:rPr>
          <w:rFonts w:ascii="Calibri" w:hAnsi="Calibri"/>
          <w:sz w:val="22"/>
        </w:rPr>
        <w:t>The gate vestige is located on a hidden, non-cosmetic surface at an optimal position for complete, even mould filling.</w:t>
      </w:r>
    </w:p>
    <w:p>
      <w:pPr>
        <w:spacing w:before="120" w:after="120" w:line="360" w:lineRule="exact"/>
      </w:pPr>
      <w:r>
        <w:rPr>
          <w:rFonts w:ascii="Calibri" w:hAnsi="Calibri"/>
          <w:b w:val="0"/>
          <w:i w:val="0"/>
          <w:sz w:val="22"/>
        </w:rPr>
        <w:t>One area for potential improvement would be the gate and weld line strategy — repositioning the gate or adding overflow wells could further reduce the weld line length in the prong arms, improving the fatigue life of the snap mechanism under repeated engagement and release cycles. Overall, however, this buckle represents a well-manufactured injection-moulded thermoplastic product that demonstrates competent application of tooling and moldability principles.</w:t>
      </w:r>
    </w:p>
    <w:p>
      <w:pPr>
        <w:spacing w:before="40" w:after="40"/>
        <w:pBdr>
          <w:bottom w:val="single" w:sz="6" w:space="1" w:color="BFBFBF"/>
        </w:pBdr>
      </w:pPr>
    </w:p>
    <w:p>
      <w:pPr>
        <w:pStyle w:val="Heading1"/>
      </w:pPr>
      <w:r>
        <w:rPr>
          <w:rFonts w:ascii="Calibri" w:hAnsi="Calibri"/>
          <w:color w:val="1F497D"/>
          <w:sz w:val="28"/>
        </w:rPr>
        <w:t>5.0  References</w:t>
      </w:r>
    </w:p>
    <w:p>
      <w:pPr>
        <w:pStyle w:val="ListNumber"/>
        <w:spacing w:after="80"/>
      </w:pPr>
      <w:r>
        <w:rPr>
          <w:rFonts w:ascii="Calibri" w:hAnsi="Calibri"/>
          <w:sz w:val="22"/>
        </w:rPr>
        <w:t>Rosato, D.V. &amp; Rosato, M.G. (2012). Injection Molding Handbook (3rd ed.). Springer.</w:t>
      </w:r>
    </w:p>
    <w:p>
      <w:pPr>
        <w:pStyle w:val="ListNumber"/>
        <w:spacing w:after="80"/>
      </w:pPr>
      <w:r>
        <w:rPr>
          <w:rFonts w:ascii="Calibri" w:hAnsi="Calibri"/>
          <w:sz w:val="22"/>
        </w:rPr>
        <w:t>Bryce, D.M. (1996). Plastic Injection Molding: Manufacturing Process Fundamentals. SME.</w:t>
      </w:r>
    </w:p>
    <w:p>
      <w:pPr>
        <w:pStyle w:val="ListNumber"/>
        <w:spacing w:after="80"/>
      </w:pPr>
      <w:r>
        <w:rPr>
          <w:rFonts w:ascii="Calibri" w:hAnsi="Calibri"/>
          <w:sz w:val="22"/>
        </w:rPr>
        <w:t>Lecture notes: DM024-4-2 Manufacturing Processes, Asia Pacific University (APU),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