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6560"/>
          <w:sz w:val="20"/>
          <w:szCs w:val="20"/>
        </w:rPr>
        <w:t xml:space="preserve">CLASSROOM AGENCY SYSTEM · DOCUMENTATION</w:t>
      </w:r>
    </w:p>
    <w:p>
      <w:pPr>
        <w:spacing w:after="40"/>
      </w:pPr>
      <w:r>
        <w:rPr>
          <w:b/>
          <w:bCs/>
          <w:sz w:val="36"/>
          <w:szCs w:val="36"/>
        </w:rPr>
        <w:t xml:space="preserve">Module 5 — SCR Suggestion &amp; Remediation Engine</w:t>
      </w:r>
    </w:p>
    <w:p>
      <w:pPr>
        <w:spacing w:after="40"/>
      </w:pPr>
      <w:r>
        <w:rPr>
          <w:i/>
          <w:iCs/>
          <w:sz w:val="20"/>
          <w:szCs w:val="20"/>
        </w:rPr>
        <w:t xml:space="preserve">IN PROGRESS · 2 New Scripts · 3 Existing-File Addenda · 4 New Tabs</w:t>
      </w:r>
    </w:p>
    <w:p>
      <w:pPr>
        <w:spacing w:after="200"/>
      </w:pPr>
      <w:r>
        <w:rPr>
          <w:color w:val="6B6560"/>
          <w:sz w:val="18"/>
          <w:szCs w:val="18"/>
        </w:rPr>
        <w:t xml:space="preserve">Additive · No M1, M2, or M4 changes · Documentation v1.1 (merged)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3D0" w:val="clear"/>
            <w:tcMar>
              <w:top w:type="dxa" w:w="150"/>
              <w:left w:type="dxa" w:w="150"/>
              <w:bottom w:type="dxa" w:w="150"/>
              <w:right w:type="dxa" w:w="150"/>
            </w:tcMar>
          </w:tcPr>
          <w:p>
            <w:pPr>
              <w:spacing w:after="80"/>
            </w:pPr>
            <w:r>
              <w:rPr>
                <w:b/>
                <w:bCs/>
              </w:rPr>
              <w:t xml:space="preserve">⚠️ MERGED DOCUMENT (reconciliation decisions 6 and 11)</w:t>
            </w:r>
          </w:p>
          <w:p>
            <w:pPr>
              <w:spacing w:after="80"/>
            </w:pPr>
            <w:r>
              <w:rPr>
                <w:b w:val="false"/>
                <w:bCs w:val="false"/>
              </w:rPr>
              <w:t xml:space="preserve">This replaces CAS_Module3_Documentation_v1.0.docx and _v1.0_alt.docx — both kept, archived, not deleted; neither is authoritative on its own going forward.</w:t>
            </w:r>
          </w:p>
          <w:p>
            <w:pPr>
              <w:spacing w:after="80"/>
            </w:pPr>
            <w:r>
              <w:rPr>
                <w:b w:val="false"/>
                <w:bCs w:val="false"/>
              </w:rPr>
              <w:t xml:space="preserve">Renumbered Module 3 → Module 5: this module's own "Module 3" label collided both with PLATFORM_DOCUMENTATION.html's real Module 3 (Student Profile) and with the real, production-ready Script 29 (Student Context Aggregator), whose own documentation (CAS_Module4_Documentation_v1.1.docx) explicitly reserves "Module 5" for exactly this kind of student-competency work. Script 30's own header comment already called itself "The Module 3 threshold script" and referred to Script 29 as "Module 4's Script 29" three times — this file is now consistent with that.</w:t>
            </w:r>
          </w:p>
          <w:p>
            <w:pPr>
              <w:spacing w:after="80"/>
            </w:pPr>
            <w:r>
              <w:rPr>
                <w:b w:val="false"/>
                <w:bCs w:val="false"/>
              </w:rPr>
              <w:t xml:space="preserve">Content is based on _alt (the newer of the two — its Step 2/Step 6 guidance is strictly ahead of v1.0's), with v1.0's "TeacherMatrix needs a lesson_unit_id column" gap entry restored below — _alt silently dropped it, but it is independently, directly confirmed elsewhere in this repo (cas-ccps README Known Gaps) as still true today.</w:t>
            </w:r>
          </w:p>
          <w:p>
            <w:pPr>
              <w:spacing w:after="0"/>
            </w:pPr>
            <w:r>
              <w:rPr>
                <w:b w:val="false"/>
                <w:bCs w:val="false"/>
              </w:rPr>
              <w:t xml:space="preserve">File names updated to match the actual renames on disk: 16_UnifiedManualSetup_M3_ADDENDUM_v2.js → 16_UnifiedManualSetup_M5_ADDENDUM_v2.js; 19_ClonedSheetConfig_M3_ADDENDUM.js → 19_ClonedSheetConfig_M5_ADDENDUM.js.</w:t>
            </w:r>
          </w:p>
        </w:tc>
      </w:tr>
    </w:tbl>
    <w:p>
      <w:pPr>
        <w:pStyle w:val="Heading2"/>
        <w:spacing w:after="120" w:before="300"/>
      </w:pPr>
      <w:r>
        <w:t xml:space="preserve">Status: Seven Files, Three Confidence Tiers — Read This First</w:t>
      </w:r>
    </w:p>
    <w:p>
      <w:pPr>
        <w:spacing w:after="160"/>
      </w:pPr>
      <w:r>
        <w:t xml:space="preserve">Module 5 is not uniformly verified the way Module 2 and Module 4 were. Some of its files rest on real, pasted source code from this codebase. Others are the first build specification for a system that has never been deployed. One file contains an explicitly lower-confidence repair of damaged source. This documentation states the confidence level of every file plainly rather than presenting all seven as equally solid — that distinction is the most important thing in this document.</w:t>
      </w:r>
    </w:p>
    <w:p>
      <w:pPr>
        <w:pStyle w:val="Heading2"/>
        <w:spacing w:after="120" w:before="300"/>
      </w:pPr>
      <w:r>
        <w:t xml:space="preserve">What This Is</w:t>
      </w:r>
    </w:p>
    <w:p>
      <w:pPr>
        <w:spacing w:after="100"/>
      </w:pPr>
      <w:r>
        <w:rPr>
          <w:b/>
          <w:bCs/>
        </w:rPr>
        <w:t xml:space="preserve">Turning assignment evidence into an SCR rating a teacher can trust</w:t>
      </w:r>
    </w:p>
    <w:p>
      <w:pPr>
        <w:spacing w:after="160"/>
      </w:pPr>
      <w:r>
        <w:t xml:space="preserve">Virginia's CTE competency framework (8VAC20-120-120) requires every student to be rated 1 through 5 on every required competency, using a Student Competency Record the school must retain for the student's enrollment plus five years. Module 1 evaluates assignments. Module 2 logs what was taught. Neither one produces an SCR rating. Module 5 is the layer that does: it reads structured evidence from graded assignments, computes a defensible rating suggestion, and gives a teacher a confirm-or-override decision point — never an automatic, unattributed rating.</w:t>
      </w:r>
    </w:p>
    <w:p>
      <w:pPr>
        <w:spacing w:after="160"/>
      </w:pPr>
      <w:r>
        <w:t xml:space="preserve">The stated goal driving this module's design is explicit: every student should reach at least an SCR of 2 on every required competency. Module 5 doesn't lower the bar to get there — it builds a remediation path. A student who scores a 3 or 4 on a primary competency can work through linked secondary competencies, and if that secondary evidence shows real improvement, the system surfaces a retry opportunity. A teacher still decides whether the retry result becomes the new official rating.</w:t>
      </w:r>
    </w:p>
    <w:p>
      <w:pPr>
        <w:spacing w:after="100"/>
      </w:pPr>
      <w:r>
        <w:rPr>
          <w:b/>
          <w:bCs/>
        </w:rPr>
        <w:t xml:space="preserve">The two ratings this system will never suggest:</w:t>
      </w:r>
    </w:p>
    <w:p>
      <w:pPr>
        <w:spacing w:after="160"/>
      </w:pPr>
      <w:r>
        <w:t xml:space="preserve">Ratings 1 ("can teach others") and 5 ("cannot perform") are permanently excluded from automatic suggestion — by design, not oversight. These are the two most consequential claims on the SCR scale, and both require a teacher's deliberate, unprompted judgment. A teacher can always enter 1 or 5 as a manual override; this module will never propose either value on its own.</w:t>
      </w:r>
    </w:p>
    <w:p>
      <w:pPr>
        <w:spacing w:after="100"/>
      </w:pPr>
      <w:r>
        <w:rPr>
          <w:b/>
          <w:bCs/>
        </w:rPr>
        <w:t xml:space="preserve">What this module does not do:</w:t>
      </w:r>
    </w:p>
    <w:p>
      <w:pPr>
        <w:spacing w:after="160"/>
      </w:pPr>
      <w:r>
        <w:t xml:space="preserve">It does not evaluate student work — that's Module 1 and the (unbuilt) Flow 2. It does not log what was taught — that's Module 2. It does not decide a rating for a teacher — every confirm and every override is a named, timestamped human action, recorded permanently. And as of this version, it does not automatically reopen a decided competency when new evidence arrives outside the retry path — that remains a real, explicitly flagged gap (see Open Questions).</w:t>
      </w:r>
    </w:p>
    <w:p>
      <w:pPr>
        <w:pStyle w:val="Heading2"/>
        <w:spacing w:after="120" w:before="300"/>
      </w:pPr>
      <w:r>
        <w:t xml:space="preserve">File-by-File Status</w:t>
      </w:r>
    </w:p>
    <w:p>
      <w:pPr>
        <w:spacing w:after="160"/>
      </w:pPr>
      <w:r>
        <w:t xml:space="preserve">Six files, not one uniform release. Unlike Module 2 and Module 4, Module 5 was built across a long design conversation that surfaced real unknowns along the way — a config function that turned out to be hardcoded rather than generic, a Confirmation Form whose pasted source was partially damaged, a Studio Flow that had never been deployed. Each file below is marked with its actual confidence level, not a uniform "done."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4800"/>
      </w:tblGrid>
      <w:tr>
        <w:tc>
          <w:tcPr>
            <w:tcW w:type="dxa" w:w="3200"/>
            <w:shd w:fill="E2E8F0" w:val="clear"/>
            <w:tcMar>
              <w:top w:type="dxa" w:w="80"/>
              <w:left w:type="dxa" w:w="100"/>
              <w:bottom w:type="dxa" w:w="80"/>
              <w:right w:type="dxa" w:w="100"/>
            </w:tcMar>
          </w:tcPr>
          <w:p>
            <w:r>
              <w:rPr>
                <w:b/>
                <w:bCs/>
              </w:rPr>
              <w:t xml:space="preserve">File</w:t>
            </w:r>
          </w:p>
        </w:tc>
        <w:tc>
          <w:tcPr>
            <w:tcW w:type="dxa" w:w="2000"/>
            <w:shd w:fill="E2E8F0" w:val="clear"/>
            <w:tcMar>
              <w:top w:type="dxa" w:w="80"/>
              <w:left w:type="dxa" w:w="100"/>
              <w:bottom w:type="dxa" w:w="80"/>
              <w:right w:type="dxa" w:w="100"/>
            </w:tcMar>
          </w:tcPr>
          <w:p>
            <w:r>
              <w:rPr>
                <w:b/>
                <w:bCs/>
              </w:rPr>
              <w:t xml:space="preserve">Status</w:t>
            </w:r>
          </w:p>
        </w:tc>
        <w:tc>
          <w:tcPr>
            <w:tcW w:type="dxa" w:w="1400"/>
            <w:shd w:fill="E2E8F0" w:val="clear"/>
            <w:tcMar>
              <w:top w:type="dxa" w:w="80"/>
              <w:left w:type="dxa" w:w="100"/>
              <w:bottom w:type="dxa" w:w="80"/>
              <w:right w:type="dxa" w:w="100"/>
            </w:tcMar>
          </w:tcPr>
          <w:p>
            <w:r>
              <w:rPr>
                <w:b/>
                <w:bCs/>
              </w:rPr>
              <w:t xml:space="preserve">Confidence</w:t>
            </w:r>
          </w:p>
        </w:tc>
        <w:tc>
          <w:tcPr>
            <w:tcW w:type="dxa" w:w="4800"/>
            <w:shd w:fill="E2E8F0" w:val="clear"/>
            <w:tcMar>
              <w:top w:type="dxa" w:w="80"/>
              <w:left w:type="dxa" w:w="100"/>
              <w:bottom w:type="dxa" w:w="80"/>
              <w:right w:type="dxa" w:w="100"/>
            </w:tcMar>
          </w:tcPr>
          <w:p>
            <w:r>
              <w:rPr>
                <w:b/>
                <w:bCs/>
              </w:rPr>
              <w:t xml:space="preserve">What it does</w:t>
            </w:r>
          </w:p>
        </w:tc>
      </w:tr>
      <w:tr>
        <w:tc>
          <w:tcPr>
            <w:tcW w:type="dxa" w:w="3200"/>
            <w:tcMar>
              <w:top w:type="dxa" w:w="80"/>
              <w:left w:type="dxa" w:w="100"/>
              <w:bottom w:type="dxa" w:w="80"/>
              <w:right w:type="dxa" w:w="100"/>
            </w:tcMar>
          </w:tcPr>
          <w:p>
            <w:r>
              <w:rPr>
                <w:b w:val="false"/>
                <w:bCs w:val="false"/>
              </w:rPr>
              <w:t xml:space="preserve">08_TeacherConfirmationStep.js</w:t>
            </w:r>
          </w:p>
        </w:tc>
        <w:tc>
          <w:tcPr>
            <w:tcW w:type="dxa" w:w="2000"/>
            <w:tcMar>
              <w:top w:type="dxa" w:w="80"/>
              <w:left w:type="dxa" w:w="100"/>
              <w:bottom w:type="dxa" w:w="80"/>
              <w:right w:type="dxa" w:w="100"/>
            </w:tcMar>
          </w:tcPr>
          <w:p>
            <w:r>
              <w:rPr>
                <w:b w:val="false"/>
                <w:bCs w:val="false"/>
              </w:rPr>
              <w:t xml:space="preserve">REPLACES LIVE FILE</w:t>
            </w:r>
          </w:p>
        </w:tc>
        <w:tc>
          <w:tcPr>
            <w:tcW w:type="dxa" w:w="1400"/>
            <w:tcMar>
              <w:top w:type="dxa" w:w="80"/>
              <w:left w:type="dxa" w:w="100"/>
              <w:bottom w:type="dxa" w:w="80"/>
              <w:right w:type="dxa" w:w="100"/>
            </w:tcMar>
          </w:tcPr>
          <w:p>
            <w:r>
              <w:rPr>
                <w:b w:val="false"/>
                <w:bCs w:val="false"/>
              </w:rPr>
              <w:t xml:space="preserve">HIGH</w:t>
            </w:r>
          </w:p>
        </w:tc>
        <w:tc>
          <w:tcPr>
            <w:tcW w:type="dxa" w:w="4800"/>
            <w:tcMar>
              <w:top w:type="dxa" w:w="80"/>
              <w:left w:type="dxa" w:w="100"/>
              <w:bottom w:type="dxa" w:w="80"/>
              <w:right w:type="dxa" w:w="100"/>
            </w:tcMar>
          </w:tcPr>
          <w:p>
            <w:r>
              <w:rPr>
                <w:b w:val="false"/>
                <w:bCs w:val="false"/>
              </w:rPr>
              <w:t xml:space="preserve">Real pasted source, real bug fixed (TM08 comma), four competency-tagging fields added.</w:t>
            </w:r>
          </w:p>
        </w:tc>
      </w:tr>
      <w:tr>
        <w:tc>
          <w:tcPr>
            <w:tcW w:type="dxa" w:w="3200"/>
            <w:tcMar>
              <w:top w:type="dxa" w:w="80"/>
              <w:left w:type="dxa" w:w="100"/>
              <w:bottom w:type="dxa" w:w="80"/>
              <w:right w:type="dxa" w:w="100"/>
            </w:tcMar>
          </w:tcPr>
          <w:p>
            <w:r>
              <w:rPr>
                <w:b w:val="false"/>
                <w:bCs w:val="false"/>
              </w:rPr>
              <w:t xml:space="preserve">16_UnifiedManualSetup_M5_ADDENDUM_v2.js</w:t>
            </w:r>
          </w:p>
        </w:tc>
        <w:tc>
          <w:tcPr>
            <w:tcW w:type="dxa" w:w="2000"/>
            <w:tcMar>
              <w:top w:type="dxa" w:w="80"/>
              <w:left w:type="dxa" w:w="100"/>
              <w:bottom w:type="dxa" w:w="80"/>
              <w:right w:type="dxa" w:w="100"/>
            </w:tcMar>
          </w:tcPr>
          <w:p>
            <w:r>
              <w:rPr>
                <w:b w:val="false"/>
                <w:bCs w:val="false"/>
              </w:rPr>
              <w:t xml:space="preserve">USE THIS VERSION</w:t>
            </w:r>
          </w:p>
        </w:tc>
        <w:tc>
          <w:tcPr>
            <w:tcW w:type="dxa" w:w="1400"/>
            <w:tcMar>
              <w:top w:type="dxa" w:w="80"/>
              <w:left w:type="dxa" w:w="100"/>
              <w:bottom w:type="dxa" w:w="80"/>
              <w:right w:type="dxa" w:w="100"/>
            </w:tcMar>
          </w:tcPr>
          <w:p>
            <w:r>
              <w:rPr>
                <w:b w:val="false"/>
                <w:bCs w:val="false"/>
              </w:rPr>
              <w:t xml:space="preserve">MIXED</w:t>
            </w:r>
          </w:p>
        </w:tc>
        <w:tc>
          <w:tcPr>
            <w:tcW w:type="dxa" w:w="4800"/>
            <w:tcMar>
              <w:top w:type="dxa" w:w="80"/>
              <w:left w:type="dxa" w:w="100"/>
              <w:bottom w:type="dxa" w:w="80"/>
              <w:right w:type="dxa" w:w="100"/>
            </w:tcMar>
          </w:tcPr>
          <w:p>
            <w:r>
              <w:rPr>
                <w:b w:val="false"/>
                <w:bCs w:val="false"/>
              </w:rPr>
              <w:t xml:space="preserve">v2/v3 (same file). Three HIGH confidence repairs, two LOWER confidence placeholders (help text wording + two truncated Rubric Upload Form field titles) — see Repair Notes 3 and 4 in the file.</w:t>
            </w:r>
          </w:p>
        </w:tc>
      </w:tr>
      <w:tr>
        <w:tc>
          <w:tcPr>
            <w:tcW w:type="dxa" w:w="3200"/>
            <w:tcMar>
              <w:top w:type="dxa" w:w="80"/>
              <w:left w:type="dxa" w:w="100"/>
              <w:bottom w:type="dxa" w:w="80"/>
              <w:right w:type="dxa" w:w="100"/>
            </w:tcMar>
          </w:tcPr>
          <w:p>
            <w:r>
              <w:rPr>
                <w:b w:val="false"/>
                <w:bCs w:val="false"/>
              </w:rPr>
              <w:t xml:space="preserve">19_ClonedSheetConfig_M5_ADDENDUM.js</w:t>
            </w:r>
          </w:p>
        </w:tc>
        <w:tc>
          <w:tcPr>
            <w:tcW w:type="dxa" w:w="2000"/>
            <w:tcMar>
              <w:top w:type="dxa" w:w="80"/>
              <w:left w:type="dxa" w:w="100"/>
              <w:bottom w:type="dxa" w:w="80"/>
              <w:right w:type="dxa" w:w="100"/>
            </w:tcMar>
          </w:tcPr>
          <w:p>
            <w:r>
              <w:rPr>
                <w:b w:val="false"/>
                <w:bCs w:val="false"/>
              </w:rPr>
              <w:t xml:space="preserve">CLOSES VERIFIED GAP</w:t>
            </w:r>
          </w:p>
        </w:tc>
        <w:tc>
          <w:tcPr>
            <w:tcW w:type="dxa" w:w="1400"/>
            <w:tcMar>
              <w:top w:type="dxa" w:w="80"/>
              <w:left w:type="dxa" w:w="100"/>
              <w:bottom w:type="dxa" w:w="80"/>
              <w:right w:type="dxa" w:w="100"/>
            </w:tcMar>
          </w:tcPr>
          <w:p>
            <w:r>
              <w:rPr>
                <w:b w:val="false"/>
                <w:bCs w:val="false"/>
              </w:rPr>
              <w:t xml:space="preserve">HIGH</w:t>
            </w:r>
          </w:p>
        </w:tc>
        <w:tc>
          <w:tcPr>
            <w:tcW w:type="dxa" w:w="4800"/>
            <w:tcMar>
              <w:top w:type="dxa" w:w="80"/>
              <w:left w:type="dxa" w:w="100"/>
              <w:bottom w:type="dxa" w:w="80"/>
              <w:right w:type="dxa" w:w="100"/>
            </w:tcMar>
          </w:tcPr>
          <w:p>
            <w:r>
              <w:rPr>
                <w:b w:val="false"/>
                <w:bCs w:val="false"/>
              </w:rPr>
              <w:t xml:space="preserve">Real pasted source revealed getSheetConfig_() is hardcoded, not generic — gap confirmed and closed with 4 explicit lines.</w:t>
            </w:r>
          </w:p>
        </w:tc>
      </w:tr>
      <w:tr>
        <w:tc>
          <w:tcPr>
            <w:tcW w:type="dxa" w:w="3200"/>
            <w:tcMar>
              <w:top w:type="dxa" w:w="80"/>
              <w:left w:type="dxa" w:w="100"/>
              <w:bottom w:type="dxa" w:w="80"/>
              <w:right w:type="dxa" w:w="100"/>
            </w:tcMar>
          </w:tcPr>
          <w:p>
            <w:r>
              <w:rPr>
                <w:b w:val="false"/>
                <w:bCs w:val="false"/>
              </w:rPr>
              <w:t xml:space="preserve">15b_StudioFlowPrompts_Flow2_Revised.js</w:t>
            </w:r>
          </w:p>
        </w:tc>
        <w:tc>
          <w:tcPr>
            <w:tcW w:type="dxa" w:w="2000"/>
            <w:tcMar>
              <w:top w:type="dxa" w:w="80"/>
              <w:left w:type="dxa" w:w="100"/>
              <w:bottom w:type="dxa" w:w="80"/>
              <w:right w:type="dxa" w:w="100"/>
            </w:tcMar>
          </w:tcPr>
          <w:p>
            <w:r>
              <w:rPr>
                <w:b w:val="false"/>
                <w:bCs w:val="false"/>
              </w:rPr>
              <w:t xml:space="preserve">FIRST BUILD SPEC</w:t>
            </w:r>
          </w:p>
        </w:tc>
        <w:tc>
          <w:tcPr>
            <w:tcW w:type="dxa" w:w="1400"/>
            <w:tcMar>
              <w:top w:type="dxa" w:w="80"/>
              <w:left w:type="dxa" w:w="100"/>
              <w:bottom w:type="dxa" w:w="80"/>
              <w:right w:type="dxa" w:w="100"/>
            </w:tcMar>
          </w:tcPr>
          <w:p>
            <w:r>
              <w:rPr>
                <w:b w:val="false"/>
                <w:bCs w:val="false"/>
              </w:rPr>
              <w:t xml:space="preserve">SPEC ONLY</w:t>
            </w:r>
          </w:p>
        </w:tc>
        <w:tc>
          <w:tcPr>
            <w:tcW w:type="dxa" w:w="4800"/>
            <w:tcMar>
              <w:top w:type="dxa" w:w="80"/>
              <w:left w:type="dxa" w:w="100"/>
              <w:bottom w:type="dxa" w:w="80"/>
              <w:right w:type="dxa" w:w="100"/>
            </w:tcMar>
          </w:tcPr>
          <w:p>
            <w:r>
              <w:rPr>
                <w:b w:val="false"/>
                <w:bCs w:val="false"/>
              </w:rPr>
              <w:t xml:space="preserve">Flow 2 has never been deployed. This is original design, not a patch — one explicit open implementation detail remains.</w:t>
            </w:r>
          </w:p>
        </w:tc>
      </w:tr>
      <w:tr>
        <w:tc>
          <w:tcPr>
            <w:tcW w:type="dxa" w:w="3200"/>
            <w:tcMar>
              <w:top w:type="dxa" w:w="80"/>
              <w:left w:type="dxa" w:w="100"/>
              <w:bottom w:type="dxa" w:w="80"/>
              <w:right w:type="dxa" w:w="100"/>
            </w:tcMar>
          </w:tcPr>
          <w:p>
            <w:r>
              <w:rPr>
                <w:b w:val="false"/>
                <w:bCs w:val="false"/>
              </w:rPr>
              <w:t xml:space="preserve">30_SCRSuggestionEngine.js</w:t>
            </w:r>
          </w:p>
        </w:tc>
        <w:tc>
          <w:tcPr>
            <w:tcW w:type="dxa" w:w="2000"/>
            <w:tcMar>
              <w:top w:type="dxa" w:w="80"/>
              <w:left w:type="dxa" w:w="100"/>
              <w:bottom w:type="dxa" w:w="80"/>
              <w:right w:type="dxa" w:w="100"/>
            </w:tcMar>
          </w:tcPr>
          <w:p>
            <w:r>
              <w:rPr>
                <w:b w:val="false"/>
                <w:bCs w:val="false"/>
              </w:rPr>
              <w:t xml:space="preserve">NEW, TESTED</w:t>
            </w:r>
          </w:p>
        </w:tc>
        <w:tc>
          <w:tcPr>
            <w:tcW w:type="dxa" w:w="1400"/>
            <w:tcMar>
              <w:top w:type="dxa" w:w="80"/>
              <w:left w:type="dxa" w:w="100"/>
              <w:bottom w:type="dxa" w:w="80"/>
              <w:right w:type="dxa" w:w="100"/>
            </w:tcMar>
          </w:tcPr>
          <w:p>
            <w:r>
              <w:rPr>
                <w:b w:val="false"/>
                <w:bCs w:val="false"/>
              </w:rPr>
              <w:t xml:space="preserve">HIGH</w:t>
            </w:r>
          </w:p>
        </w:tc>
        <w:tc>
          <w:tcPr>
            <w:tcW w:type="dxa" w:w="4800"/>
            <w:tcMar>
              <w:top w:type="dxa" w:w="80"/>
              <w:left w:type="dxa" w:w="100"/>
              <w:bottom w:type="dxa" w:w="80"/>
              <w:right w:type="dxa" w:w="100"/>
            </w:tcMar>
          </w:tcPr>
          <w:p>
            <w:r>
              <w:rPr>
                <w:b w:val="false"/>
                <w:bCs w:val="false"/>
              </w:rPr>
              <w:t xml:space="preserve">The threshold script itself. Logic verified against 9 hand-checked cases, not just syntax.</w:t>
            </w:r>
          </w:p>
        </w:tc>
      </w:tr>
      <w:tr>
        <w:tc>
          <w:tcPr>
            <w:tcW w:type="dxa" w:w="3200"/>
            <w:tcMar>
              <w:top w:type="dxa" w:w="80"/>
              <w:left w:type="dxa" w:w="100"/>
              <w:bottom w:type="dxa" w:w="80"/>
              <w:right w:type="dxa" w:w="100"/>
            </w:tcMar>
          </w:tcPr>
          <w:p>
            <w:r>
              <w:rPr>
                <w:b w:val="false"/>
                <w:bCs w:val="false"/>
              </w:rPr>
              <w:t xml:space="preserve">30b_SCRRetryRemediation.js</w:t>
            </w:r>
          </w:p>
        </w:tc>
        <w:tc>
          <w:tcPr>
            <w:tcW w:type="dxa" w:w="2000"/>
            <w:tcMar>
              <w:top w:type="dxa" w:w="80"/>
              <w:left w:type="dxa" w:w="100"/>
              <w:bottom w:type="dxa" w:w="80"/>
              <w:right w:type="dxa" w:w="100"/>
            </w:tcMar>
          </w:tcPr>
          <w:p>
            <w:r>
              <w:rPr>
                <w:b w:val="false"/>
                <w:bCs w:val="false"/>
              </w:rPr>
              <w:t xml:space="preserve">NEW, TESTED</w:t>
            </w:r>
          </w:p>
        </w:tc>
        <w:tc>
          <w:tcPr>
            <w:tcW w:type="dxa" w:w="1400"/>
            <w:tcMar>
              <w:top w:type="dxa" w:w="80"/>
              <w:left w:type="dxa" w:w="100"/>
              <w:bottom w:type="dxa" w:w="80"/>
              <w:right w:type="dxa" w:w="100"/>
            </w:tcMar>
          </w:tcPr>
          <w:p>
            <w:r>
              <w:rPr>
                <w:b w:val="false"/>
                <w:bCs w:val="false"/>
              </w:rPr>
              <w:t xml:space="preserve">HIGH</w:t>
            </w:r>
          </w:p>
        </w:tc>
        <w:tc>
          <w:tcPr>
            <w:tcW w:type="dxa" w:w="4800"/>
            <w:tcMar>
              <w:top w:type="dxa" w:w="80"/>
              <w:left w:type="dxa" w:w="100"/>
              <w:bottom w:type="dxa" w:w="80"/>
              <w:right w:type="dxa" w:w="100"/>
            </w:tcMar>
          </w:tcPr>
          <w:p>
            <w:r>
              <w:rPr>
                <w:b w:val="false"/>
                <w:bCs w:val="false"/>
              </w:rPr>
              <w:t xml:space="preserve">Primary/secondary linkage + retry mechanism. Eligibility rule verified against 7 hand-checked cases including a divide-by-zero guard.</w:t>
            </w:r>
          </w:p>
        </w:tc>
      </w:tr>
    </w:tbl>
    <w:p>
      <w:pPr>
        <w:pStyle w:val="Heading2"/>
        <w:spacing w:after="120" w:before="300"/>
      </w:pPr>
      <w:r>
        <w:t xml:space="preserve">How It Works</w:t>
      </w:r>
    </w:p>
    <w:p>
      <w:pPr>
        <w:spacing w:after="100"/>
      </w:pPr>
      <w:r>
        <w:rPr>
          <w:b/>
          <w:bCs/>
        </w:rPr>
        <w:t xml:space="preserve">From a graded milestone to an SCR rating — the full path</w:t>
      </w:r>
    </w:p>
    <w:p>
      <w:pPr>
        <w:spacing w:after="160"/>
      </w:pPr>
      <w:r>
        <w:t xml:space="preserve">Six stages, three of them brand new in this module, three of them extending files that already existed before Module 5 began.</w:t>
      </w:r>
    </w:p>
    <w:p>
      <w:pPr>
        <w:spacing w:after="160"/>
      </w:pPr>
      <w:r>
        <w:t xml:space="preserve">1. Teacher submits a rubric (existing Flow 1 — unchanged). Gemini extracts four milestones.</w:t>
      </w:r>
    </w:p>
    <w:p>
      <w:pPr>
        <w:spacing w:after="160"/>
      </w:pPr>
      <w:r>
        <w:t xml:space="preserve">2. Teacher reviews the Confirmation Form (Script 08 + 16 additions) and tags each milestone with exactly one competency_id — never AI-guessed, always a human choice.</w:t>
      </w:r>
    </w:p>
    <w:p>
      <w:pPr>
        <w:spacing w:after="160"/>
      </w:pPr>
      <w:r>
        <w:t xml:space="preserve">3. A student's work is evaluated (Flow 2 — first build spec, this module). Gemini's output includes a trailing machine-readable line: MET / PARTIALLY_MET / NOT_MET per milestone.</w:t>
      </w:r>
    </w:p>
    <w:p>
      <w:pPr>
        <w:spacing w:after="160"/>
      </w:pPr>
      <w:r>
        <w:t xml:space="preserve">4. A relay step splits that output — the student sees identical feedback to before; a new CompetencyEvidence row is written per milestone, tagged PRIMARY or SECONDARY based on the lesson's linkage.</w:t>
      </w:r>
    </w:p>
    <w:p>
      <w:pPr>
        <w:spacing w:after="160"/>
      </w:pPr>
      <w:r>
        <w:t xml:space="preserve">5. Weekly, Script 30 aggregates all CompetencyEvidence for each student+competency pair and computes a suggested rating: 2, 3, 4, or INSUFFICIENT_EVIDENCE. Never 1 or 5.</w:t>
      </w:r>
    </w:p>
    <w:p>
      <w:pPr>
        <w:spacing w:after="160"/>
      </w:pPr>
      <w:r>
        <w:t xml:space="preserve">6. A teacher confirms or overrides on a dashboard surface. The decision is appended to SCRDecisionLog — permanently, attributed, never edited in place. If a 3 or 4 is later remediated via Script 30b's retry path, a NEW decision row records the improvement; the original is never erased.</w:t>
      </w:r>
    </w:p>
    <w:p>
      <w:pPr>
        <w:pStyle w:val="Heading3"/>
        <w:spacing w:after="100" w:before="200"/>
      </w:pPr>
      <w:r>
        <w:t xml:space="preserve">The threshold rule — restated exactly as implemented</w:t>
      </w:r>
    </w:p>
    <w:p>
      <w:pPr>
        <w:spacing w:after="100"/>
      </w:pPr>
      <w:r>
        <w:rPr>
          <w:b/>
          <w:bCs/>
        </w:rPr>
        <w:t xml:space="preserve">Primary suggestion rule (Script 30):</w:t>
      </w:r>
    </w:p>
    <w:p>
      <w:pPr>
        <w:spacing w:after="160"/>
      </w:pPr>
      <w:r>
        <w:t xml:space="preserve">Per student + competency: count MET, NOT_MET, and PARTIALLY_MET evidence rows. If fewer than 3 total exist, the status is INSUFFICIENT_EVIDENCE and nothing is shown. If NOT_MET reaches 3 or more, the system suggests 4. If MET reaches 3 or more AND there is zero NOT_MET, the system suggests 2. Every other case — mixed evidence, partial-only evidence, anything that doesn't cleanly clear one of those two bars — defaults to 3.</w:t>
      </w:r>
    </w:p>
    <w:p>
      <w:pPr>
        <w:spacing w:after="100"/>
      </w:pPr>
      <w:r>
        <w:rPr>
          <w:b/>
          <w:bCs/>
        </w:rPr>
        <w:t xml:space="preserve">Retry eligibility rule (Script 30b) — replaces an earlier, stricter version:</w:t>
      </w:r>
    </w:p>
    <w:p>
      <w:pPr>
        <w:spacing w:after="160"/>
      </w:pPr>
      <w:r>
        <w:t xml:space="preserve">A primary competency rated 3 or 4 becomes eligible for a retry when two conditions both hold: the combined MET evidence across primary and linked secondary competencies reaches 5 or more, AND the secondary MET count is at least double the primary's NOT_MET count. The first version of this rule required zero secondary misses at all — that was identified as a real blocker, since a single secondary miss could permanently lock a student out of remediation regardless of other strong evidence. The current rule scales the bar to how much remediation a student actually needed, rather than demanding a perfect streak.</w:t>
      </w:r>
    </w:p>
    <w:p>
      <w:pPr>
        <w:pStyle w:val="Heading2"/>
        <w:spacing w:after="120" w:before="300"/>
      </w:pPr>
      <w:r>
        <w:t xml:space="preserve">Architectural Decisions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c>
          <w:tcPr>
            <w:tcW w:type="dxa" w:w="3400"/>
            <w:shd w:fill="E2E8F0" w:val="clear"/>
            <w:tcMar>
              <w:top w:type="dxa" w:w="80"/>
              <w:left w:type="dxa" w:w="100"/>
              <w:bottom w:type="dxa" w:w="80"/>
              <w:right w:type="dxa" w:w="100"/>
            </w:tcMar>
          </w:tcPr>
          <w:p>
            <w:r>
              <w:rPr>
                <w:b/>
                <w:bCs/>
              </w:rPr>
              <w:t xml:space="preserve">Decision</w:t>
            </w:r>
          </w:p>
        </w:tc>
        <w:tc>
          <w:tcPr>
            <w:tcW w:type="dxa" w:w="6400"/>
            <w:shd w:fill="E2E8F0" w:val="clear"/>
            <w:tcMar>
              <w:top w:type="dxa" w:w="80"/>
              <w:left w:type="dxa" w:w="100"/>
              <w:bottom w:type="dxa" w:w="80"/>
              <w:right w:type="dxa" w:w="100"/>
            </w:tcMar>
          </w:tcPr>
          <w:p>
            <w:r>
              <w:rPr>
                <w:b/>
                <w:bCs/>
              </w:rPr>
              <w:t xml:space="preserve">Rationale</w:t>
            </w:r>
          </w:p>
        </w:tc>
      </w:tr>
      <w:tr>
        <w:tc>
          <w:tcPr>
            <w:tcW w:type="dxa" w:w="3400"/>
            <w:tcMar>
              <w:top w:type="dxa" w:w="80"/>
              <w:left w:type="dxa" w:w="100"/>
              <w:bottom w:type="dxa" w:w="80"/>
              <w:right w:type="dxa" w:w="100"/>
            </w:tcMar>
          </w:tcPr>
          <w:p>
            <w:r>
              <w:rPr>
                <w:b w:val="false"/>
                <w:bCs w:val="false"/>
              </w:rPr>
              <w:t xml:space="preserve">NEVER SUGGEST 1 OR 5</w:t>
            </w:r>
          </w:p>
        </w:tc>
        <w:tc>
          <w:tcPr>
            <w:tcW w:type="dxa" w:w="6400"/>
            <w:tcMar>
              <w:top w:type="dxa" w:w="80"/>
              <w:left w:type="dxa" w:w="100"/>
              <w:bottom w:type="dxa" w:w="80"/>
              <w:right w:type="dxa" w:w="100"/>
            </w:tcMar>
          </w:tcPr>
          <w:p>
            <w:r>
              <w:rPr>
                <w:b w:val="false"/>
                <w:bCs w:val="false"/>
              </w:rPr>
              <w:t xml:space="preserve">The two most consequential SCR values are reserved entirely for direct teacher judgment. The system's suggestible range is {2,3,4} — the three values most defensible from accumulated evidence alone.</w:t>
            </w:r>
          </w:p>
        </w:tc>
      </w:tr>
      <w:tr>
        <w:tc>
          <w:tcPr>
            <w:tcW w:type="dxa" w:w="3400"/>
            <w:tcMar>
              <w:top w:type="dxa" w:w="80"/>
              <w:left w:type="dxa" w:w="100"/>
              <w:bottom w:type="dxa" w:w="80"/>
              <w:right w:type="dxa" w:w="100"/>
            </w:tcMar>
          </w:tcPr>
          <w:p>
            <w:r>
              <w:rPr>
                <w:b w:val="false"/>
                <w:bCs w:val="false"/>
              </w:rPr>
              <w:t xml:space="preserve">COMPETENCY TAGGING IS HUMAN-ONLY</w:t>
            </w:r>
          </w:p>
        </w:tc>
        <w:tc>
          <w:tcPr>
            <w:tcW w:type="dxa" w:w="6400"/>
            <w:tcMar>
              <w:top w:type="dxa" w:w="80"/>
              <w:left w:type="dxa" w:w="100"/>
              <w:bottom w:type="dxa" w:w="80"/>
              <w:right w:type="dxa" w:w="100"/>
            </w:tcMar>
          </w:tcPr>
          <w:p>
            <w:r>
              <w:rPr>
                <w:b w:val="false"/>
                <w:bCs w:val="false"/>
              </w:rPr>
              <w:t xml:space="preserve">Every milestone-to-competency mapping is chosen by a teacher on the Confirmation Form, never inferred by Gemini. This keeps AI inference away from the one piece of data that ultimately feeds a legally-retained record.</w:t>
            </w:r>
          </w:p>
        </w:tc>
      </w:tr>
      <w:tr>
        <w:tc>
          <w:tcPr>
            <w:tcW w:type="dxa" w:w="3400"/>
            <w:tcMar>
              <w:top w:type="dxa" w:w="80"/>
              <w:left w:type="dxa" w:w="100"/>
              <w:bottom w:type="dxa" w:w="80"/>
              <w:right w:type="dxa" w:w="100"/>
            </w:tcMar>
          </w:tcPr>
          <w:p>
            <w:r>
              <w:rPr>
                <w:b w:val="false"/>
                <w:bCs w:val="false"/>
              </w:rPr>
              <w:t xml:space="preserve">SCRSuggestions IS THE ONE EXCEPTION TO APPEND-ONLY</w:t>
            </w:r>
          </w:p>
        </w:tc>
        <w:tc>
          <w:tcPr>
            <w:tcW w:type="dxa" w:w="6400"/>
            <w:tcMar>
              <w:top w:type="dxa" w:w="80"/>
              <w:left w:type="dxa" w:w="100"/>
              <w:bottom w:type="dxa" w:w="80"/>
              <w:right w:type="dxa" w:w="100"/>
            </w:tcMar>
          </w:tcPr>
          <w:p>
            <w:r>
              <w:rPr>
                <w:b w:val="false"/>
                <w:bCs w:val="false"/>
              </w:rPr>
              <w:t xml:space="preserve">Every other log in this codebase (AlignmentLog, CompetencyEvidence, SCRDecisionLog) is append-only. SCRSuggestions is deliberately overwritten in place each weekly run, for as long as a pair remains undecided — it represents a live estimate, not a settled fact. The moment a teacher confirms or overrides, that pair freezes permanently.</w:t>
            </w:r>
          </w:p>
        </w:tc>
      </w:tr>
      <w:tr>
        <w:tc>
          <w:tcPr>
            <w:tcW w:type="dxa" w:w="3400"/>
            <w:tcMar>
              <w:top w:type="dxa" w:w="80"/>
              <w:left w:type="dxa" w:w="100"/>
              <w:bottom w:type="dxa" w:w="80"/>
              <w:right w:type="dxa" w:w="100"/>
            </w:tcMar>
          </w:tcPr>
          <w:p>
            <w:r>
              <w:rPr>
                <w:b w:val="false"/>
                <w:bCs w:val="false"/>
              </w:rPr>
              <w:t xml:space="preserve">"OVERWRITTEN" MEANS A NEW ROW, NEVER AN EDIT</w:t>
            </w:r>
          </w:p>
        </w:tc>
        <w:tc>
          <w:tcPr>
            <w:tcW w:type="dxa" w:w="6400"/>
            <w:tcMar>
              <w:top w:type="dxa" w:w="80"/>
              <w:left w:type="dxa" w:w="100"/>
              <w:bottom w:type="dxa" w:w="80"/>
              <w:right w:type="dxa" w:w="100"/>
            </w:tcMar>
          </w:tcPr>
          <w:p>
            <w:r>
              <w:rPr>
                <w:b w:val="false"/>
                <w:bCs w:val="false"/>
              </w:rPr>
              <w:t xml:space="preserve">When a retry earns a higher rating, SCRDecisionLog gains a new row with decision_type RETRY_IMPROVED. The original lower-rating row is never touched. "Official" rating for export/display purposes is simply the most recent decision row for that pair — full history survives for the five-year retention window regardless.</w:t>
            </w:r>
          </w:p>
        </w:tc>
      </w:tr>
      <w:tr>
        <w:tc>
          <w:tcPr>
            <w:tcW w:type="dxa" w:w="3400"/>
            <w:tcMar>
              <w:top w:type="dxa" w:w="80"/>
              <w:left w:type="dxa" w:w="100"/>
              <w:bottom w:type="dxa" w:w="80"/>
              <w:right w:type="dxa" w:w="100"/>
            </w:tcMar>
          </w:tcPr>
          <w:p>
            <w:r>
              <w:rPr>
                <w:b w:val="false"/>
                <w:bCs w:val="false"/>
              </w:rPr>
              <w:t xml:space="preserve">RETRY THRESHOLD POOLS EVIDENCE, NOT PER-COMPETENCY</w:t>
            </w:r>
          </w:p>
        </w:tc>
        <w:tc>
          <w:tcPr>
            <w:tcW w:type="dxa" w:w="6400"/>
            <w:tcMar>
              <w:top w:type="dxa" w:w="80"/>
              <w:left w:type="dxa" w:w="100"/>
              <w:bottom w:type="dxa" w:w="80"/>
              <w:right w:type="dxa" w:w="100"/>
            </w:tcMar>
          </w:tcPr>
          <w:p>
            <w:r>
              <w:rPr>
                <w:b w:val="false"/>
                <w:bCs w:val="false"/>
              </w:rPr>
              <w:t xml:space="preserve">A student doesn't need to master every linked secondary competency individually — combined evidence across all secondaries linked to one primary is pooled into a single tally. This matches the remediation spirit of the request: secondaries support one primary goal, not several independent goals.</w:t>
            </w:r>
          </w:p>
        </w:tc>
      </w:tr>
      <w:tr>
        <w:tc>
          <w:tcPr>
            <w:tcW w:type="dxa" w:w="3400"/>
            <w:tcMar>
              <w:top w:type="dxa" w:w="80"/>
              <w:left w:type="dxa" w:w="100"/>
              <w:bottom w:type="dxa" w:w="80"/>
              <w:right w:type="dxa" w:w="100"/>
            </w:tcMar>
          </w:tcPr>
          <w:p>
            <w:r>
              <w:rPr>
                <w:b w:val="false"/>
                <w:bCs w:val="false"/>
              </w:rPr>
              <w:t xml:space="preserve">PRIMARY/SECONDARY LINKAGE IS PER LESSON, NOT PER MILESTONE</w:t>
            </w:r>
          </w:p>
        </w:tc>
        <w:tc>
          <w:tcPr>
            <w:tcW w:type="dxa" w:w="6400"/>
            <w:tcMar>
              <w:top w:type="dxa" w:w="80"/>
              <w:left w:type="dxa" w:w="100"/>
              <w:bottom w:type="dxa" w:w="80"/>
              <w:right w:type="dxa" w:w="100"/>
            </w:tcMar>
          </w:tcPr>
          <w:p>
            <w:r>
              <w:rPr>
                <w:b w:val="false"/>
                <w:bCs w:val="false"/>
              </w:rPr>
              <w:t xml:space="preserve">LessonPrimarySecondary keys on lesson_unit_id, matching the original request's wording exactly ("linked for each lesson"). One primary competency per lesson; any number of secondaries.</w:t>
            </w:r>
          </w:p>
        </w:tc>
      </w:tr>
      <w:tr>
        <w:tc>
          <w:tcPr>
            <w:tcW w:type="dxa" w:w="3400"/>
            <w:tcMar>
              <w:top w:type="dxa" w:w="80"/>
              <w:left w:type="dxa" w:w="100"/>
              <w:bottom w:type="dxa" w:w="80"/>
              <w:right w:type="dxa" w:w="100"/>
            </w:tcMar>
          </w:tcPr>
          <w:p>
            <w:r>
              <w:rPr>
                <w:b w:val="false"/>
                <w:bCs w:val="false"/>
              </w:rPr>
              <w:t xml:space="preserve">THE RELAY STEP'S CONNECTOR IS AN OPEN IMPLEMENTATION DETAIL</w:t>
            </w:r>
          </w:p>
        </w:tc>
        <w:tc>
          <w:tcPr>
            <w:tcW w:type="dxa" w:w="6400"/>
            <w:tcMar>
              <w:top w:type="dxa" w:w="80"/>
              <w:left w:type="dxa" w:w="100"/>
              <w:bottom w:type="dxa" w:w="80"/>
              <w:right w:type="dxa" w:w="100"/>
            </w:tcMar>
          </w:tcPr>
          <w:p>
            <w:r>
              <w:rPr>
                <w:b w:val="false"/>
                <w:bCs w:val="false"/>
              </w:rPr>
              <w:t xml:space="preserve">Flow 2's Step 3b — splitting Gemini's output into a clean student-facing payload and a separate machine-readable evidence payload — is specified functionally, with the exact Studio connector type left open. This was confirmed feasible by direct knowledge of Studio Flow's capabilities, not assumed from documentation.</w:t>
            </w:r>
          </w:p>
        </w:tc>
      </w:tr>
    </w:tbl>
    <w:p>
      <w:pPr>
        <w:pStyle w:val="Heading2"/>
        <w:spacing w:after="120" w:before="300"/>
      </w:pPr>
      <w:r>
        <w:t xml:space="preserve">Data Model</w:t>
      </w:r>
    </w:p>
    <w:p>
      <w:pPr>
        <w:spacing w:after="160"/>
      </w:pPr>
      <w:r>
        <w:t xml:space="preserve">Four new tabs across two scripts. CompetencyEvidence is written by the (unbuilt) Flow 2. SCRSuggestions and SCRDecisionLog are written by Script 30. LessonPrimarySecondary is reference data, authored once per lesson, read by Script 30b.</w:t>
      </w:r>
    </w:p>
    <w:p>
      <w:pPr>
        <w:pStyle w:val="Heading3"/>
        <w:spacing w:after="100" w:before="200"/>
      </w:pPr>
      <w:r>
        <w:t xml:space="preserve">CompetencyEvidence</w:t>
      </w:r>
    </w:p>
    <w:p>
      <w:pPr>
        <w:spacing w:after="160"/>
      </w:pPr>
      <w:r>
        <w:t xml:space="preserve">One row per milestone per evaluation run · Written by Flow 2's Step 5b · Append-only · 9 columns (8 from the original spec, plus evidence_role added for Module 5's retry extension)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600"/>
      </w:tblGrid>
      <w:tr>
        <w:tc>
          <w:tcPr>
            <w:tcW w:type="dxa" w:w="1800"/>
            <w:shd w:fill="E2E8F0" w:val="clear"/>
            <w:tcMar>
              <w:top w:type="dxa" w:w="80"/>
              <w:left w:type="dxa" w:w="100"/>
              <w:bottom w:type="dxa" w:w="80"/>
              <w:right w:type="dxa" w:w="100"/>
            </w:tcMar>
          </w:tcPr>
          <w:p>
            <w:r>
              <w:rPr>
                <w:b/>
                <w:bCs/>
              </w:rPr>
              <w:t xml:space="preserve">Column</w:t>
            </w:r>
          </w:p>
        </w:tc>
        <w:tc>
          <w:tcPr>
            <w:tcW w:type="dxa" w:w="1200"/>
            <w:shd w:fill="E2E8F0" w:val="clear"/>
            <w:tcMar>
              <w:top w:type="dxa" w:w="80"/>
              <w:left w:type="dxa" w:w="100"/>
              <w:bottom w:type="dxa" w:w="80"/>
              <w:right w:type="dxa" w:w="100"/>
            </w:tcMar>
          </w:tcPr>
          <w:p>
            <w:r>
              <w:rPr>
                <w:b/>
                <w:bCs/>
              </w:rPr>
              <w:t xml:space="preserve">Type</w:t>
            </w:r>
          </w:p>
        </w:tc>
        <w:tc>
          <w:tcPr>
            <w:tcW w:type="dxa" w:w="1200"/>
            <w:shd w:fill="E2E8F0" w:val="clear"/>
            <w:tcMar>
              <w:top w:type="dxa" w:w="80"/>
              <w:left w:type="dxa" w:w="100"/>
              <w:bottom w:type="dxa" w:w="80"/>
              <w:right w:type="dxa" w:w="100"/>
            </w:tcMar>
          </w:tcPr>
          <w:p>
            <w:r>
              <w:rPr>
                <w:b/>
                <w:bCs/>
              </w:rPr>
              <w:t xml:space="preserve">Writer</w:t>
            </w:r>
          </w:p>
        </w:tc>
        <w:tc>
          <w:tcPr>
            <w:tcW w:type="dxa" w:w="5600"/>
            <w:shd w:fill="E2E8F0" w:val="clear"/>
            <w:tcMar>
              <w:top w:type="dxa" w:w="80"/>
              <w:left w:type="dxa" w:w="100"/>
              <w:bottom w:type="dxa" w:w="80"/>
              <w:right w:type="dxa" w:w="100"/>
            </w:tcMar>
          </w:tcPr>
          <w:p>
            <w:r>
              <w:rPr>
                <w:b/>
                <w:bCs/>
              </w:rPr>
              <w:t xml:space="preserve">Description</w:t>
            </w:r>
          </w:p>
        </w:tc>
      </w:tr>
      <w:tr>
        <w:tc>
          <w:tcPr>
            <w:tcW w:type="dxa" w:w="1800"/>
            <w:tcMar>
              <w:top w:type="dxa" w:w="80"/>
              <w:left w:type="dxa" w:w="100"/>
              <w:bottom w:type="dxa" w:w="80"/>
              <w:right w:type="dxa" w:w="100"/>
            </w:tcMar>
          </w:tcPr>
          <w:p>
            <w:r>
              <w:rPr>
                <w:b w:val="false"/>
                <w:bCs w:val="false"/>
              </w:rPr>
              <w:t xml:space="preserve">evidence_id</w:t>
            </w:r>
          </w:p>
        </w:tc>
        <w:tc>
          <w:tcPr>
            <w:tcW w:type="dxa" w:w="1200"/>
            <w:tcMar>
              <w:top w:type="dxa" w:w="80"/>
              <w:left w:type="dxa" w:w="100"/>
              <w:bottom w:type="dxa" w:w="80"/>
              <w:right w:type="dxa" w:w="100"/>
            </w:tcMar>
          </w:tcPr>
          <w:p>
            <w:r>
              <w:rPr>
                <w:b w:val="false"/>
                <w:bCs w:val="false"/>
              </w:rPr>
              <w:t xml:space="preserve">String</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Auto-generated. Format: EVD-YYYYMMDD-XXXX.</w:t>
            </w:r>
          </w:p>
        </w:tc>
      </w:tr>
      <w:tr>
        <w:tc>
          <w:tcPr>
            <w:tcW w:type="dxa" w:w="1800"/>
            <w:tcMar>
              <w:top w:type="dxa" w:w="80"/>
              <w:left w:type="dxa" w:w="100"/>
              <w:bottom w:type="dxa" w:w="80"/>
              <w:right w:type="dxa" w:w="100"/>
            </w:tcMar>
          </w:tcPr>
          <w:p>
            <w:r>
              <w:rPr>
                <w:b w:val="false"/>
                <w:bCs w:val="false"/>
              </w:rPr>
              <w:t xml:space="preserve">student_email</w:t>
            </w:r>
          </w:p>
        </w:tc>
        <w:tc>
          <w:tcPr>
            <w:tcW w:type="dxa" w:w="1200"/>
            <w:tcMar>
              <w:top w:type="dxa" w:w="80"/>
              <w:left w:type="dxa" w:w="100"/>
              <w:bottom w:type="dxa" w:w="80"/>
              <w:right w:type="dxa" w:w="100"/>
            </w:tcMar>
          </w:tcPr>
          <w:p>
            <w:r>
              <w:rPr>
                <w:b w:val="false"/>
                <w:bCs w:val="false"/>
              </w:rPr>
              <w:t xml:space="preserve">String</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7-digit@ccpsnet.net format, from a widened Ledger lookup already in Flow 2's existing Step 2.</w:t>
            </w:r>
          </w:p>
        </w:tc>
      </w:tr>
      <w:tr>
        <w:tc>
          <w:tcPr>
            <w:tcW w:type="dxa" w:w="1800"/>
            <w:tcMar>
              <w:top w:type="dxa" w:w="80"/>
              <w:left w:type="dxa" w:w="100"/>
              <w:bottom w:type="dxa" w:w="80"/>
              <w:right w:type="dxa" w:w="100"/>
            </w:tcMar>
          </w:tcPr>
          <w:p>
            <w:r>
              <w:rPr>
                <w:b w:val="false"/>
                <w:bCs w:val="false"/>
              </w:rPr>
              <w:t xml:space="preserve">competency_id</w:t>
            </w:r>
          </w:p>
        </w:tc>
        <w:tc>
          <w:tcPr>
            <w:tcW w:type="dxa" w:w="1200"/>
            <w:tcMar>
              <w:top w:type="dxa" w:w="80"/>
              <w:left w:type="dxa" w:w="100"/>
              <w:bottom w:type="dxa" w:w="80"/>
              <w:right w:type="dxa" w:w="100"/>
            </w:tcMar>
          </w:tcPr>
          <w:p>
            <w:r>
              <w:rPr>
                <w:b w:val="false"/>
                <w:bCs w:val="false"/>
              </w:rPr>
              <w:t xml:space="preserve">String</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From TeacherMatrix's Milestone_N_Competency_Id column — set by a teacher, never inferred.</w:t>
            </w:r>
          </w:p>
        </w:tc>
      </w:tr>
      <w:tr>
        <w:tc>
          <w:tcPr>
            <w:tcW w:type="dxa" w:w="1800"/>
            <w:tcMar>
              <w:top w:type="dxa" w:w="80"/>
              <w:left w:type="dxa" w:w="100"/>
              <w:bottom w:type="dxa" w:w="80"/>
              <w:right w:type="dxa" w:w="100"/>
            </w:tcMar>
          </w:tcPr>
          <w:p>
            <w:r>
              <w:rPr>
                <w:b w:val="false"/>
                <w:bCs w:val="false"/>
              </w:rPr>
              <w:t xml:space="preserve">milestone_text</w:t>
            </w:r>
          </w:p>
        </w:tc>
        <w:tc>
          <w:tcPr>
            <w:tcW w:type="dxa" w:w="1200"/>
            <w:tcMar>
              <w:top w:type="dxa" w:w="80"/>
              <w:left w:type="dxa" w:w="100"/>
              <w:bottom w:type="dxa" w:w="80"/>
              <w:right w:type="dxa" w:w="100"/>
            </w:tcMar>
          </w:tcPr>
          <w:p>
            <w:r>
              <w:rPr>
                <w:b w:val="false"/>
                <w:bCs w:val="false"/>
              </w:rPr>
              <w:t xml:space="preserve">Text</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Copied verbatim from TeacherMatrix, denormalized for export-readability.</w:t>
            </w:r>
          </w:p>
        </w:tc>
      </w:tr>
      <w:tr>
        <w:tc>
          <w:tcPr>
            <w:tcW w:type="dxa" w:w="1800"/>
            <w:tcMar>
              <w:top w:type="dxa" w:w="80"/>
              <w:left w:type="dxa" w:w="100"/>
              <w:bottom w:type="dxa" w:w="80"/>
              <w:right w:type="dxa" w:w="100"/>
            </w:tcMar>
          </w:tcPr>
          <w:p>
            <w:r>
              <w:rPr>
                <w:b w:val="false"/>
                <w:bCs w:val="false"/>
              </w:rPr>
              <w:t xml:space="preserve">outcome</w:t>
            </w:r>
          </w:p>
        </w:tc>
        <w:tc>
          <w:tcPr>
            <w:tcW w:type="dxa" w:w="1200"/>
            <w:tcMar>
              <w:top w:type="dxa" w:w="80"/>
              <w:left w:type="dxa" w:w="100"/>
              <w:bottom w:type="dxa" w:w="80"/>
              <w:right w:type="dxa" w:w="100"/>
            </w:tcMar>
          </w:tcPr>
          <w:p>
            <w:r>
              <w:rPr>
                <w:b w:val="false"/>
                <w:bCs w:val="false"/>
              </w:rPr>
              <w:t xml:space="preserve">Enum</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MET | PARTIALLY_MET | NOT_MET. Parsed from Gemini's trailing structured line via the relay step.</w:t>
            </w:r>
          </w:p>
        </w:tc>
      </w:tr>
      <w:tr>
        <w:tc>
          <w:tcPr>
            <w:tcW w:type="dxa" w:w="1800"/>
            <w:tcMar>
              <w:top w:type="dxa" w:w="80"/>
              <w:left w:type="dxa" w:w="100"/>
              <w:bottom w:type="dxa" w:w="80"/>
              <w:right w:type="dxa" w:w="100"/>
            </w:tcMar>
          </w:tcPr>
          <w:p>
            <w:r>
              <w:rPr>
                <w:b w:val="false"/>
                <w:bCs w:val="false"/>
              </w:rPr>
              <w:t xml:space="preserve">config_id</w:t>
            </w:r>
          </w:p>
        </w:tc>
        <w:tc>
          <w:tcPr>
            <w:tcW w:type="dxa" w:w="1200"/>
            <w:tcMar>
              <w:top w:type="dxa" w:w="80"/>
              <w:left w:type="dxa" w:w="100"/>
              <w:bottom w:type="dxa" w:w="80"/>
              <w:right w:type="dxa" w:w="100"/>
            </w:tcMar>
          </w:tcPr>
          <w:p>
            <w:r>
              <w:rPr>
                <w:b w:val="false"/>
                <w:bCs w:val="false"/>
              </w:rPr>
              <w:t xml:space="preserve">String</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Foreign key back to the assignment configuration that produced this evidence.</w:t>
            </w:r>
          </w:p>
        </w:tc>
      </w:tr>
      <w:tr>
        <w:tc>
          <w:tcPr>
            <w:tcW w:type="dxa" w:w="1800"/>
            <w:tcMar>
              <w:top w:type="dxa" w:w="80"/>
              <w:left w:type="dxa" w:w="100"/>
              <w:bottom w:type="dxa" w:w="80"/>
              <w:right w:type="dxa" w:w="100"/>
            </w:tcMar>
          </w:tcPr>
          <w:p>
            <w:r>
              <w:rPr>
                <w:b w:val="false"/>
                <w:bCs w:val="false"/>
              </w:rPr>
              <w:t xml:space="preserve">evaluated_at</w:t>
            </w:r>
          </w:p>
        </w:tc>
        <w:tc>
          <w:tcPr>
            <w:tcW w:type="dxa" w:w="1200"/>
            <w:tcMar>
              <w:top w:type="dxa" w:w="80"/>
              <w:left w:type="dxa" w:w="100"/>
              <w:bottom w:type="dxa" w:w="80"/>
              <w:right w:type="dxa" w:w="100"/>
            </w:tcMar>
          </w:tcPr>
          <w:p>
            <w:r>
              <w:rPr>
                <w:b w:val="false"/>
                <w:bCs w:val="false"/>
              </w:rPr>
              <w:t xml:space="preserve">DateTime</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Timestamp of this Flow 2 run.</w:t>
            </w:r>
          </w:p>
        </w:tc>
      </w:tr>
      <w:tr>
        <w:tc>
          <w:tcPr>
            <w:tcW w:type="dxa" w:w="1800"/>
            <w:tcMar>
              <w:top w:type="dxa" w:w="80"/>
              <w:left w:type="dxa" w:w="100"/>
              <w:bottom w:type="dxa" w:w="80"/>
              <w:right w:type="dxa" w:w="100"/>
            </w:tcMar>
          </w:tcPr>
          <w:p>
            <w:r>
              <w:rPr>
                <w:b w:val="false"/>
                <w:bCs w:val="false"/>
              </w:rPr>
              <w:t xml:space="preserve">student_file_id</w:t>
            </w:r>
          </w:p>
        </w:tc>
        <w:tc>
          <w:tcPr>
            <w:tcW w:type="dxa" w:w="1200"/>
            <w:tcMar>
              <w:top w:type="dxa" w:w="80"/>
              <w:left w:type="dxa" w:w="100"/>
              <w:bottom w:type="dxa" w:w="80"/>
              <w:right w:type="dxa" w:w="100"/>
            </w:tcMar>
          </w:tcPr>
          <w:p>
            <w:r>
              <w:rPr>
                <w:b w:val="false"/>
                <w:bCs w:val="false"/>
              </w:rPr>
              <w:t xml:space="preserve">String</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Google Doc ID of the submission this evidence came from.</w:t>
            </w:r>
          </w:p>
        </w:tc>
      </w:tr>
      <w:tr>
        <w:tc>
          <w:tcPr>
            <w:tcW w:type="dxa" w:w="1800"/>
            <w:tcMar>
              <w:top w:type="dxa" w:w="80"/>
              <w:left w:type="dxa" w:w="100"/>
              <w:bottom w:type="dxa" w:w="80"/>
              <w:right w:type="dxa" w:w="100"/>
            </w:tcMar>
          </w:tcPr>
          <w:p>
            <w:r>
              <w:rPr>
                <w:b w:val="false"/>
                <w:bCs w:val="false"/>
              </w:rPr>
              <w:t xml:space="preserve">evidence_role</w:t>
            </w:r>
          </w:p>
        </w:tc>
        <w:tc>
          <w:tcPr>
            <w:tcW w:type="dxa" w:w="1200"/>
            <w:tcMar>
              <w:top w:type="dxa" w:w="80"/>
              <w:left w:type="dxa" w:w="100"/>
              <w:bottom w:type="dxa" w:w="80"/>
              <w:right w:type="dxa" w:w="100"/>
            </w:tcMar>
          </w:tcPr>
          <w:p>
            <w:r>
              <w:rPr>
                <w:b w:val="false"/>
                <w:bCs w:val="false"/>
              </w:rPr>
              <w:t xml:space="preserve">Enum</w:t>
            </w:r>
          </w:p>
        </w:tc>
        <w:tc>
          <w:tcPr>
            <w:tcW w:type="dxa" w:w="1200"/>
            <w:tcMar>
              <w:top w:type="dxa" w:w="80"/>
              <w:left w:type="dxa" w:w="100"/>
              <w:bottom w:type="dxa" w:w="80"/>
              <w:right w:type="dxa" w:w="100"/>
            </w:tcMar>
          </w:tcPr>
          <w:p>
            <w:r>
              <w:rPr>
                <w:b w:val="false"/>
                <w:bCs w:val="false"/>
              </w:rPr>
              <w:t xml:space="preserve">Flow 2</w:t>
            </w:r>
          </w:p>
        </w:tc>
        <w:tc>
          <w:tcPr>
            <w:tcW w:type="dxa" w:w="5600"/>
            <w:tcMar>
              <w:top w:type="dxa" w:w="80"/>
              <w:left w:type="dxa" w:w="100"/>
              <w:bottom w:type="dxa" w:w="80"/>
              <w:right w:type="dxa" w:w="100"/>
            </w:tcMar>
          </w:tcPr>
          <w:p>
            <w:r>
              <w:rPr>
                <w:b w:val="false"/>
                <w:bCs w:val="false"/>
              </w:rPr>
              <w:t xml:space="preserve">PRIMARY | SECONDARY. Added for Module 5's retry extension — looked up from LessonPrimarySecondary at write time.</w:t>
            </w:r>
          </w:p>
        </w:tc>
      </w:tr>
    </w:tbl>
    <w:p>
      <w:pPr>
        <w:pStyle w:val="Heading3"/>
        <w:spacing w:after="100" w:before="200"/>
      </w:pPr>
      <w:r>
        <w:t xml:space="preserve">SCRSuggestions</w:t>
      </w:r>
    </w:p>
    <w:p>
      <w:pPr>
        <w:spacing w:after="160"/>
      </w:pPr>
      <w:r>
        <w:t xml:space="preserve">One row per student+competency PAIR · Overwritten in place until decided · 11 columns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5000"/>
      </w:tblGrid>
      <w:tr>
        <w:tc>
          <w:tcPr>
            <w:tcW w:type="dxa" w:w="2600"/>
            <w:shd w:fill="E2E8F0" w:val="clear"/>
            <w:tcMar>
              <w:top w:type="dxa" w:w="80"/>
              <w:left w:type="dxa" w:w="100"/>
              <w:bottom w:type="dxa" w:w="80"/>
              <w:right w:type="dxa" w:w="100"/>
            </w:tcMar>
          </w:tcPr>
          <w:p>
            <w:r>
              <w:rPr>
                <w:b/>
                <w:bCs/>
              </w:rPr>
              <w:t xml:space="preserve">Column</w:t>
            </w:r>
          </w:p>
        </w:tc>
        <w:tc>
          <w:tcPr>
            <w:tcW w:type="dxa" w:w="1000"/>
            <w:shd w:fill="E2E8F0" w:val="clear"/>
            <w:tcMar>
              <w:top w:type="dxa" w:w="80"/>
              <w:left w:type="dxa" w:w="100"/>
              <w:bottom w:type="dxa" w:w="80"/>
              <w:right w:type="dxa" w:w="100"/>
            </w:tcMar>
          </w:tcPr>
          <w:p>
            <w:r>
              <w:rPr>
                <w:b/>
                <w:bCs/>
              </w:rPr>
              <w:t xml:space="preserve">Type</w:t>
            </w:r>
          </w:p>
        </w:tc>
        <w:tc>
          <w:tcPr>
            <w:tcW w:type="dxa" w:w="1200"/>
            <w:shd w:fill="E2E8F0" w:val="clear"/>
            <w:tcMar>
              <w:top w:type="dxa" w:w="80"/>
              <w:left w:type="dxa" w:w="100"/>
              <w:bottom w:type="dxa" w:w="80"/>
              <w:right w:type="dxa" w:w="100"/>
            </w:tcMar>
          </w:tcPr>
          <w:p>
            <w:r>
              <w:rPr>
                <w:b/>
                <w:bCs/>
              </w:rPr>
              <w:t xml:space="preserve">Writer</w:t>
            </w:r>
          </w:p>
        </w:tc>
        <w:tc>
          <w:tcPr>
            <w:tcW w:type="dxa" w:w="5000"/>
            <w:shd w:fill="E2E8F0" w:val="clear"/>
            <w:tcMar>
              <w:top w:type="dxa" w:w="80"/>
              <w:left w:type="dxa" w:w="100"/>
              <w:bottom w:type="dxa" w:w="80"/>
              <w:right w:type="dxa" w:w="100"/>
            </w:tcMar>
          </w:tcPr>
          <w:p>
            <w:r>
              <w:rPr>
                <w:b/>
                <w:bCs/>
              </w:rPr>
              <w:t xml:space="preserve">Description</w:t>
            </w:r>
          </w:p>
        </w:tc>
      </w:tr>
      <w:tr>
        <w:tc>
          <w:tcPr>
            <w:tcW w:type="dxa" w:w="2600"/>
            <w:tcMar>
              <w:top w:type="dxa" w:w="80"/>
              <w:left w:type="dxa" w:w="100"/>
              <w:bottom w:type="dxa" w:w="80"/>
              <w:right w:type="dxa" w:w="100"/>
            </w:tcMar>
          </w:tcPr>
          <w:p>
            <w:r>
              <w:rPr>
                <w:b w:val="false"/>
                <w:bCs w:val="false"/>
              </w:rPr>
              <w:t xml:space="preserve">student_email</w:t>
            </w:r>
          </w:p>
        </w:tc>
        <w:tc>
          <w:tcPr>
            <w:tcW w:type="dxa" w:w="1000"/>
            <w:tcMar>
              <w:top w:type="dxa" w:w="80"/>
              <w:left w:type="dxa" w:w="100"/>
              <w:bottom w:type="dxa" w:w="80"/>
              <w:right w:type="dxa" w:w="100"/>
            </w:tcMar>
          </w:tcPr>
          <w:p>
            <w:r>
              <w:rPr>
                <w:b w:val="false"/>
                <w:bCs w:val="false"/>
              </w:rPr>
              <w:t xml:space="preserve">String</w:t>
            </w:r>
          </w:p>
        </w:tc>
        <w:tc>
          <w:tcPr>
            <w:tcW w:type="dxa" w:w="1200"/>
            <w:tcMar>
              <w:top w:type="dxa" w:w="80"/>
              <w:left w:type="dxa" w:w="100"/>
              <w:bottom w:type="dxa" w:w="80"/>
              <w:right w:type="dxa" w:w="100"/>
            </w:tcMar>
          </w:tcPr>
          <w:p>
            <w:r>
              <w:rPr>
                <w:b w:val="false"/>
                <w:bCs w:val="false"/>
              </w:rPr>
              <w:t xml:space="preserve">S30</w:t>
            </w:r>
          </w:p>
        </w:tc>
        <w:tc>
          <w:tcPr>
            <w:tcW w:type="dxa" w:w="5000"/>
            <w:tcMar>
              <w:top w:type="dxa" w:w="80"/>
              <w:left w:type="dxa" w:w="100"/>
              <w:bottom w:type="dxa" w:w="80"/>
              <w:right w:type="dxa" w:w="100"/>
            </w:tcMar>
          </w:tcPr>
          <w:p>
            <w:r>
              <w:rPr>
                <w:b w:val="false"/>
                <w:bCs w:val="false"/>
              </w:rPr>
              <w:t xml:space="preserve">Primary key component.</w:t>
            </w:r>
          </w:p>
        </w:tc>
      </w:tr>
      <w:tr>
        <w:tc>
          <w:tcPr>
            <w:tcW w:type="dxa" w:w="2600"/>
            <w:tcMar>
              <w:top w:type="dxa" w:w="80"/>
              <w:left w:type="dxa" w:w="100"/>
              <w:bottom w:type="dxa" w:w="80"/>
              <w:right w:type="dxa" w:w="100"/>
            </w:tcMar>
          </w:tcPr>
          <w:p>
            <w:r>
              <w:rPr>
                <w:b w:val="false"/>
                <w:bCs w:val="false"/>
              </w:rPr>
              <w:t xml:space="preserve">competency_id</w:t>
            </w:r>
          </w:p>
        </w:tc>
        <w:tc>
          <w:tcPr>
            <w:tcW w:type="dxa" w:w="1000"/>
            <w:tcMar>
              <w:top w:type="dxa" w:w="80"/>
              <w:left w:type="dxa" w:w="100"/>
              <w:bottom w:type="dxa" w:w="80"/>
              <w:right w:type="dxa" w:w="100"/>
            </w:tcMar>
          </w:tcPr>
          <w:p>
            <w:r>
              <w:rPr>
                <w:b w:val="false"/>
                <w:bCs w:val="false"/>
              </w:rPr>
              <w:t xml:space="preserve">String</w:t>
            </w:r>
          </w:p>
        </w:tc>
        <w:tc>
          <w:tcPr>
            <w:tcW w:type="dxa" w:w="1200"/>
            <w:tcMar>
              <w:top w:type="dxa" w:w="80"/>
              <w:left w:type="dxa" w:w="100"/>
              <w:bottom w:type="dxa" w:w="80"/>
              <w:right w:type="dxa" w:w="100"/>
            </w:tcMar>
          </w:tcPr>
          <w:p>
            <w:r>
              <w:rPr>
                <w:b w:val="false"/>
                <w:bCs w:val="false"/>
              </w:rPr>
              <w:t xml:space="preserve">S30</w:t>
            </w:r>
          </w:p>
        </w:tc>
        <w:tc>
          <w:tcPr>
            <w:tcW w:type="dxa" w:w="5000"/>
            <w:tcMar>
              <w:top w:type="dxa" w:w="80"/>
              <w:left w:type="dxa" w:w="100"/>
              <w:bottom w:type="dxa" w:w="80"/>
              <w:right w:type="dxa" w:w="100"/>
            </w:tcMar>
          </w:tcPr>
          <w:p>
            <w:r>
              <w:rPr>
                <w:b w:val="false"/>
                <w:bCs w:val="false"/>
              </w:rPr>
              <w:t xml:space="preserve">Primary key component.</w:t>
            </w:r>
          </w:p>
        </w:tc>
      </w:tr>
      <w:tr>
        <w:tc>
          <w:tcPr>
            <w:tcW w:type="dxa" w:w="2600"/>
            <w:tcMar>
              <w:top w:type="dxa" w:w="80"/>
              <w:left w:type="dxa" w:w="100"/>
              <w:bottom w:type="dxa" w:w="80"/>
              <w:right w:type="dxa" w:w="100"/>
            </w:tcMar>
          </w:tcPr>
          <w:p>
            <w:r>
              <w:rPr>
                <w:b w:val="false"/>
                <w:bCs w:val="false"/>
              </w:rPr>
              <w:t xml:space="preserve">suggested_rating</w:t>
            </w:r>
          </w:p>
        </w:tc>
        <w:tc>
          <w:tcPr>
            <w:tcW w:type="dxa" w:w="1000"/>
            <w:tcMar>
              <w:top w:type="dxa" w:w="80"/>
              <w:left w:type="dxa" w:w="100"/>
              <w:bottom w:type="dxa" w:w="80"/>
              <w:right w:type="dxa" w:w="100"/>
            </w:tcMar>
          </w:tcPr>
          <w:p>
            <w:r>
              <w:rPr>
                <w:b w:val="false"/>
                <w:bCs w:val="false"/>
              </w:rPr>
              <w:t xml:space="preserve">Number</w:t>
            </w:r>
          </w:p>
        </w:tc>
        <w:tc>
          <w:tcPr>
            <w:tcW w:type="dxa" w:w="1200"/>
            <w:tcMar>
              <w:top w:type="dxa" w:w="80"/>
              <w:left w:type="dxa" w:w="100"/>
              <w:bottom w:type="dxa" w:w="80"/>
              <w:right w:type="dxa" w:w="100"/>
            </w:tcMar>
          </w:tcPr>
          <w:p>
            <w:r>
              <w:rPr>
                <w:b w:val="false"/>
                <w:bCs w:val="false"/>
              </w:rPr>
              <w:t xml:space="preserve">S30</w:t>
            </w:r>
          </w:p>
        </w:tc>
        <w:tc>
          <w:tcPr>
            <w:tcW w:type="dxa" w:w="5000"/>
            <w:tcMar>
              <w:top w:type="dxa" w:w="80"/>
              <w:left w:type="dxa" w:w="100"/>
              <w:bottom w:type="dxa" w:w="80"/>
              <w:right w:type="dxa" w:w="100"/>
            </w:tcMar>
          </w:tcPr>
          <w:p>
            <w:r>
              <w:rPr>
                <w:b w:val="false"/>
                <w:bCs w:val="false"/>
              </w:rPr>
              <w:t xml:space="preserve">2, 3, or 4. Blank if INSUFFICIENT_EVIDENCE.</w:t>
            </w:r>
          </w:p>
        </w:tc>
      </w:tr>
      <w:tr>
        <w:tc>
          <w:tcPr>
            <w:tcW w:type="dxa" w:w="2600"/>
            <w:tcMar>
              <w:top w:type="dxa" w:w="80"/>
              <w:left w:type="dxa" w:w="100"/>
              <w:bottom w:type="dxa" w:w="80"/>
              <w:right w:type="dxa" w:w="100"/>
            </w:tcMar>
          </w:tcPr>
          <w:p>
            <w:r>
              <w:rPr>
                <w:b w:val="false"/>
                <w:bCs w:val="false"/>
              </w:rPr>
              <w:t xml:space="preserve">met_count / not_met_count / partial_count</w:t>
            </w:r>
          </w:p>
        </w:tc>
        <w:tc>
          <w:tcPr>
            <w:tcW w:type="dxa" w:w="1000"/>
            <w:tcMar>
              <w:top w:type="dxa" w:w="80"/>
              <w:left w:type="dxa" w:w="100"/>
              <w:bottom w:type="dxa" w:w="80"/>
              <w:right w:type="dxa" w:w="100"/>
            </w:tcMar>
          </w:tcPr>
          <w:p>
            <w:r>
              <w:rPr>
                <w:b w:val="false"/>
                <w:bCs w:val="false"/>
              </w:rPr>
              <w:t xml:space="preserve">Number</w:t>
            </w:r>
          </w:p>
        </w:tc>
        <w:tc>
          <w:tcPr>
            <w:tcW w:type="dxa" w:w="1200"/>
            <w:tcMar>
              <w:top w:type="dxa" w:w="80"/>
              <w:left w:type="dxa" w:w="100"/>
              <w:bottom w:type="dxa" w:w="80"/>
              <w:right w:type="dxa" w:w="100"/>
            </w:tcMar>
          </w:tcPr>
          <w:p>
            <w:r>
              <w:rPr>
                <w:b w:val="false"/>
                <w:bCs w:val="false"/>
              </w:rPr>
              <w:t xml:space="preserve">S30</w:t>
            </w:r>
          </w:p>
        </w:tc>
        <w:tc>
          <w:tcPr>
            <w:tcW w:type="dxa" w:w="5000"/>
            <w:tcMar>
              <w:top w:type="dxa" w:w="80"/>
              <w:left w:type="dxa" w:w="100"/>
              <w:bottom w:type="dxa" w:w="80"/>
              <w:right w:type="dxa" w:w="100"/>
            </w:tcMar>
          </w:tcPr>
          <w:p>
            <w:r>
              <w:rPr>
                <w:b w:val="false"/>
                <w:bCs w:val="false"/>
              </w:rPr>
              <w:t xml:space="preserve">Raw evidence counts behind the suggestion, recomputed each weekly run.</w:t>
            </w:r>
          </w:p>
        </w:tc>
      </w:tr>
      <w:tr>
        <w:tc>
          <w:tcPr>
            <w:tcW w:type="dxa" w:w="2600"/>
            <w:tcMar>
              <w:top w:type="dxa" w:w="80"/>
              <w:left w:type="dxa" w:w="100"/>
              <w:bottom w:type="dxa" w:w="80"/>
              <w:right w:type="dxa" w:w="100"/>
            </w:tcMar>
          </w:tcPr>
          <w:p>
            <w:r>
              <w:rPr>
                <w:b w:val="false"/>
                <w:bCs w:val="false"/>
              </w:rPr>
              <w:t xml:space="preserve">status</w:t>
            </w:r>
          </w:p>
        </w:tc>
        <w:tc>
          <w:tcPr>
            <w:tcW w:type="dxa" w:w="1000"/>
            <w:tcMar>
              <w:top w:type="dxa" w:w="80"/>
              <w:left w:type="dxa" w:w="100"/>
              <w:bottom w:type="dxa" w:w="80"/>
              <w:right w:type="dxa" w:w="100"/>
            </w:tcMar>
          </w:tcPr>
          <w:p>
            <w:r>
              <w:rPr>
                <w:b w:val="false"/>
                <w:bCs w:val="false"/>
              </w:rPr>
              <w:t xml:space="preserve">Enum</w:t>
            </w:r>
          </w:p>
        </w:tc>
        <w:tc>
          <w:tcPr>
            <w:tcW w:type="dxa" w:w="1200"/>
            <w:tcMar>
              <w:top w:type="dxa" w:w="80"/>
              <w:left w:type="dxa" w:w="100"/>
              <w:bottom w:type="dxa" w:w="80"/>
              <w:right w:type="dxa" w:w="100"/>
            </w:tcMar>
          </w:tcPr>
          <w:p>
            <w:r>
              <w:rPr>
                <w:b w:val="false"/>
                <w:bCs w:val="false"/>
              </w:rPr>
              <w:t xml:space="preserve">S30</w:t>
            </w:r>
          </w:p>
        </w:tc>
        <w:tc>
          <w:tcPr>
            <w:tcW w:type="dxa" w:w="5000"/>
            <w:tcMar>
              <w:top w:type="dxa" w:w="80"/>
              <w:left w:type="dxa" w:w="100"/>
              <w:bottom w:type="dxa" w:w="80"/>
              <w:right w:type="dxa" w:w="100"/>
            </w:tcMar>
          </w:tcPr>
          <w:p>
            <w:r>
              <w:rPr>
                <w:b w:val="false"/>
                <w:bCs w:val="false"/>
              </w:rPr>
              <w:t xml:space="preserve">INSUFFICIENT_EVIDENCE | SUGGESTED | CONFIRMED | OVERRIDDEN.</w:t>
            </w:r>
          </w:p>
        </w:tc>
      </w:tr>
      <w:tr>
        <w:tc>
          <w:tcPr>
            <w:tcW w:type="dxa" w:w="2600"/>
            <w:tcMar>
              <w:top w:type="dxa" w:w="80"/>
              <w:left w:type="dxa" w:w="100"/>
              <w:bottom w:type="dxa" w:w="80"/>
              <w:right w:type="dxa" w:w="100"/>
            </w:tcMar>
          </w:tcPr>
          <w:p>
            <w:r>
              <w:rPr>
                <w:b w:val="false"/>
                <w:bCs w:val="false"/>
              </w:rPr>
              <w:t xml:space="preserve">last_computed_at</w:t>
            </w:r>
          </w:p>
        </w:tc>
        <w:tc>
          <w:tcPr>
            <w:tcW w:type="dxa" w:w="1000"/>
            <w:tcMar>
              <w:top w:type="dxa" w:w="80"/>
              <w:left w:type="dxa" w:w="100"/>
              <w:bottom w:type="dxa" w:w="80"/>
              <w:right w:type="dxa" w:w="100"/>
            </w:tcMar>
          </w:tcPr>
          <w:p>
            <w:r>
              <w:rPr>
                <w:b w:val="false"/>
                <w:bCs w:val="false"/>
              </w:rPr>
              <w:t xml:space="preserve">DateTime</w:t>
            </w:r>
          </w:p>
        </w:tc>
        <w:tc>
          <w:tcPr>
            <w:tcW w:type="dxa" w:w="1200"/>
            <w:tcMar>
              <w:top w:type="dxa" w:w="80"/>
              <w:left w:type="dxa" w:w="100"/>
              <w:bottom w:type="dxa" w:w="80"/>
              <w:right w:type="dxa" w:w="100"/>
            </w:tcMar>
          </w:tcPr>
          <w:p>
            <w:r>
              <w:rPr>
                <w:b w:val="false"/>
                <w:bCs w:val="false"/>
              </w:rPr>
              <w:t xml:space="preserve">S30</w:t>
            </w:r>
          </w:p>
        </w:tc>
        <w:tc>
          <w:tcPr>
            <w:tcW w:type="dxa" w:w="5000"/>
            <w:tcMar>
              <w:top w:type="dxa" w:w="80"/>
              <w:left w:type="dxa" w:w="100"/>
              <w:bottom w:type="dxa" w:w="80"/>
              <w:right w:type="dxa" w:w="100"/>
            </w:tcMar>
          </w:tcPr>
          <w:p>
            <w:r>
              <w:rPr>
                <w:b w:val="false"/>
                <w:bCs w:val="false"/>
              </w:rPr>
              <w:t xml:space="preserve">Most recent weekly run that touched this row.</w:t>
            </w:r>
          </w:p>
        </w:tc>
      </w:tr>
      <w:tr>
        <w:tc>
          <w:tcPr>
            <w:tcW w:type="dxa" w:w="2600"/>
            <w:tcMar>
              <w:top w:type="dxa" w:w="80"/>
              <w:left w:type="dxa" w:w="100"/>
              <w:bottom w:type="dxa" w:w="80"/>
              <w:right w:type="dxa" w:w="100"/>
            </w:tcMar>
          </w:tcPr>
          <w:p>
            <w:r>
              <w:rPr>
                <w:b w:val="false"/>
                <w:bCs w:val="false"/>
              </w:rPr>
              <w:t xml:space="preserve">confirmed_rating / confirmed_at / confirmed_by</w:t>
            </w:r>
          </w:p>
        </w:tc>
        <w:tc>
          <w:tcPr>
            <w:tcW w:type="dxa" w:w="1000"/>
            <w:tcMar>
              <w:top w:type="dxa" w:w="80"/>
              <w:left w:type="dxa" w:w="100"/>
              <w:bottom w:type="dxa" w:w="80"/>
              <w:right w:type="dxa" w:w="100"/>
            </w:tcMar>
          </w:tcPr>
          <w:p>
            <w:r>
              <w:rPr>
                <w:b w:val="false"/>
                <w:bCs w:val="false"/>
              </w:rPr>
              <w:t xml:space="preserve">Mixed</w:t>
            </w:r>
          </w:p>
        </w:tc>
        <w:tc>
          <w:tcPr>
            <w:tcW w:type="dxa" w:w="1200"/>
            <w:tcMar>
              <w:top w:type="dxa" w:w="80"/>
              <w:left w:type="dxa" w:w="100"/>
              <w:bottom w:type="dxa" w:w="80"/>
              <w:right w:type="dxa" w:w="100"/>
            </w:tcMar>
          </w:tcPr>
          <w:p>
            <w:r>
              <w:rPr>
                <w:b w:val="false"/>
                <w:bCs w:val="false"/>
              </w:rPr>
              <w:t xml:space="preserve">S30, S30b</w:t>
            </w:r>
          </w:p>
        </w:tc>
        <w:tc>
          <w:tcPr>
            <w:tcW w:type="dxa" w:w="5000"/>
            <w:tcMar>
              <w:top w:type="dxa" w:w="80"/>
              <w:left w:type="dxa" w:w="100"/>
              <w:bottom w:type="dxa" w:w="80"/>
              <w:right w:type="dxa" w:w="100"/>
            </w:tcMar>
          </w:tcPr>
          <w:p>
            <w:r>
              <w:rPr>
                <w:b w:val="false"/>
                <w:bCs w:val="false"/>
              </w:rPr>
              <w:t xml:space="preserve">Blank until a teacher acts. Updated again, in place, on a successful retry.</w:t>
            </w:r>
          </w:p>
        </w:tc>
      </w:tr>
    </w:tbl>
    <w:p>
      <w:pPr>
        <w:pStyle w:val="Heading3"/>
        <w:spacing w:after="100" w:before="200"/>
      </w:pPr>
      <w:r>
        <w:t xml:space="preserve">SCRDecisionLog</w:t>
      </w:r>
    </w:p>
    <w:p>
      <w:pPr>
        <w:spacing w:after="160"/>
      </w:pPr>
      <w:r>
        <w:t xml:space="preserve">One row per confirm/override/retry action EVER taken · True append-only · The actual legally-retained record · 9 columns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400"/>
        <w:gridCol w:w="4800"/>
      </w:tblGrid>
      <w:tr>
        <w:tc>
          <w:tcPr>
            <w:tcW w:type="dxa" w:w="2600"/>
            <w:shd w:fill="E2E8F0" w:val="clear"/>
            <w:tcMar>
              <w:top w:type="dxa" w:w="80"/>
              <w:left w:type="dxa" w:w="100"/>
              <w:bottom w:type="dxa" w:w="80"/>
              <w:right w:type="dxa" w:w="100"/>
            </w:tcMar>
          </w:tcPr>
          <w:p>
            <w:r>
              <w:rPr>
                <w:b/>
                <w:bCs/>
              </w:rPr>
              <w:t xml:space="preserve">Column</w:t>
            </w:r>
          </w:p>
        </w:tc>
        <w:tc>
          <w:tcPr>
            <w:tcW w:type="dxa" w:w="1000"/>
            <w:shd w:fill="E2E8F0" w:val="clear"/>
            <w:tcMar>
              <w:top w:type="dxa" w:w="80"/>
              <w:left w:type="dxa" w:w="100"/>
              <w:bottom w:type="dxa" w:w="80"/>
              <w:right w:type="dxa" w:w="100"/>
            </w:tcMar>
          </w:tcPr>
          <w:p>
            <w:r>
              <w:rPr>
                <w:b/>
                <w:bCs/>
              </w:rPr>
              <w:t xml:space="preserve">Type</w:t>
            </w:r>
          </w:p>
        </w:tc>
        <w:tc>
          <w:tcPr>
            <w:tcW w:type="dxa" w:w="1400"/>
            <w:shd w:fill="E2E8F0" w:val="clear"/>
            <w:tcMar>
              <w:top w:type="dxa" w:w="80"/>
              <w:left w:type="dxa" w:w="100"/>
              <w:bottom w:type="dxa" w:w="80"/>
              <w:right w:type="dxa" w:w="100"/>
            </w:tcMar>
          </w:tcPr>
          <w:p>
            <w:r>
              <w:rPr>
                <w:b/>
                <w:bCs/>
              </w:rPr>
              <w:t xml:space="preserve">Writer</w:t>
            </w:r>
          </w:p>
        </w:tc>
        <w:tc>
          <w:tcPr>
            <w:tcW w:type="dxa" w:w="4800"/>
            <w:shd w:fill="E2E8F0" w:val="clear"/>
            <w:tcMar>
              <w:top w:type="dxa" w:w="80"/>
              <w:left w:type="dxa" w:w="100"/>
              <w:bottom w:type="dxa" w:w="80"/>
              <w:right w:type="dxa" w:w="100"/>
            </w:tcMar>
          </w:tcPr>
          <w:p>
            <w:r>
              <w:rPr>
                <w:b/>
                <w:bCs/>
              </w:rPr>
              <w:t xml:space="preserve">Description</w:t>
            </w:r>
          </w:p>
        </w:tc>
      </w:tr>
      <w:tr>
        <w:tc>
          <w:tcPr>
            <w:tcW w:type="dxa" w:w="2600"/>
            <w:tcMar>
              <w:top w:type="dxa" w:w="80"/>
              <w:left w:type="dxa" w:w="100"/>
              <w:bottom w:type="dxa" w:w="80"/>
              <w:right w:type="dxa" w:w="100"/>
            </w:tcMar>
          </w:tcPr>
          <w:p>
            <w:r>
              <w:rPr>
                <w:b w:val="false"/>
                <w:bCs w:val="false"/>
              </w:rPr>
              <w:t xml:space="preserve">decision_id</w:t>
            </w:r>
          </w:p>
        </w:tc>
        <w:tc>
          <w:tcPr>
            <w:tcW w:type="dxa" w:w="1000"/>
            <w:tcMar>
              <w:top w:type="dxa" w:w="80"/>
              <w:left w:type="dxa" w:w="100"/>
              <w:bottom w:type="dxa" w:w="80"/>
              <w:right w:type="dxa" w:w="100"/>
            </w:tcMar>
          </w:tcPr>
          <w:p>
            <w:r>
              <w:rPr>
                <w:b w:val="false"/>
                <w:bCs w:val="false"/>
              </w:rPr>
              <w:t xml:space="preserve">String</w:t>
            </w:r>
          </w:p>
        </w:tc>
        <w:tc>
          <w:tcPr>
            <w:tcW w:type="dxa" w:w="1400"/>
            <w:tcMar>
              <w:top w:type="dxa" w:w="80"/>
              <w:left w:type="dxa" w:w="100"/>
              <w:bottom w:type="dxa" w:w="80"/>
              <w:right w:type="dxa" w:w="100"/>
            </w:tcMar>
          </w:tcPr>
          <w:p>
            <w:r>
              <w:rPr>
                <w:b w:val="false"/>
                <w:bCs w:val="false"/>
              </w:rPr>
              <w:t xml:space="preserve">S30, S30b</w:t>
            </w:r>
          </w:p>
        </w:tc>
        <w:tc>
          <w:tcPr>
            <w:tcW w:type="dxa" w:w="4800"/>
            <w:tcMar>
              <w:top w:type="dxa" w:w="80"/>
              <w:left w:type="dxa" w:w="100"/>
              <w:bottom w:type="dxa" w:w="80"/>
              <w:right w:type="dxa" w:w="100"/>
            </w:tcMar>
          </w:tcPr>
          <w:p>
            <w:r>
              <w:rPr>
                <w:b w:val="false"/>
                <w:bCs w:val="false"/>
              </w:rPr>
              <w:t xml:space="preserve">Format: SCD-YYYYMMDD-XXXX.</w:t>
            </w:r>
          </w:p>
        </w:tc>
      </w:tr>
      <w:tr>
        <w:tc>
          <w:tcPr>
            <w:tcW w:type="dxa" w:w="2600"/>
            <w:tcMar>
              <w:top w:type="dxa" w:w="80"/>
              <w:left w:type="dxa" w:w="100"/>
              <w:bottom w:type="dxa" w:w="80"/>
              <w:right w:type="dxa" w:w="100"/>
            </w:tcMar>
          </w:tcPr>
          <w:p>
            <w:r>
              <w:rPr>
                <w:b w:val="false"/>
                <w:bCs w:val="false"/>
              </w:rPr>
              <w:t xml:space="preserve">student_email / competency_id</w:t>
            </w:r>
          </w:p>
        </w:tc>
        <w:tc>
          <w:tcPr>
            <w:tcW w:type="dxa" w:w="1000"/>
            <w:tcMar>
              <w:top w:type="dxa" w:w="80"/>
              <w:left w:type="dxa" w:w="100"/>
              <w:bottom w:type="dxa" w:w="80"/>
              <w:right w:type="dxa" w:w="100"/>
            </w:tcMar>
          </w:tcPr>
          <w:p>
            <w:r>
              <w:rPr>
                <w:b w:val="false"/>
                <w:bCs w:val="false"/>
              </w:rPr>
              <w:t xml:space="preserve">String</w:t>
            </w:r>
          </w:p>
        </w:tc>
        <w:tc>
          <w:tcPr>
            <w:tcW w:type="dxa" w:w="1400"/>
            <w:tcMar>
              <w:top w:type="dxa" w:w="80"/>
              <w:left w:type="dxa" w:w="100"/>
              <w:bottom w:type="dxa" w:w="80"/>
              <w:right w:type="dxa" w:w="100"/>
            </w:tcMar>
          </w:tcPr>
          <w:p>
            <w:r>
              <w:rPr>
                <w:b w:val="false"/>
                <w:bCs w:val="false"/>
              </w:rPr>
              <w:t xml:space="preserve">S30, S30b</w:t>
            </w:r>
          </w:p>
        </w:tc>
        <w:tc>
          <w:tcPr>
            <w:tcW w:type="dxa" w:w="4800"/>
            <w:tcMar>
              <w:top w:type="dxa" w:w="80"/>
              <w:left w:type="dxa" w:w="100"/>
              <w:bottom w:type="dxa" w:w="80"/>
              <w:right w:type="dxa" w:w="100"/>
            </w:tcMar>
          </w:tcPr>
          <w:p>
            <w:r>
              <w:rPr>
                <w:b w:val="false"/>
                <w:bCs w:val="false"/>
              </w:rPr>
              <w:t xml:space="preserve">Identify the pair this decision concerns.</w:t>
            </w:r>
          </w:p>
        </w:tc>
      </w:tr>
      <w:tr>
        <w:tc>
          <w:tcPr>
            <w:tcW w:type="dxa" w:w="2600"/>
            <w:tcMar>
              <w:top w:type="dxa" w:w="80"/>
              <w:left w:type="dxa" w:w="100"/>
              <w:bottom w:type="dxa" w:w="80"/>
              <w:right w:type="dxa" w:w="100"/>
            </w:tcMar>
          </w:tcPr>
          <w:p>
            <w:r>
              <w:rPr>
                <w:b w:val="false"/>
                <w:bCs w:val="false"/>
              </w:rPr>
              <w:t xml:space="preserve">suggested_rating</w:t>
            </w:r>
          </w:p>
        </w:tc>
        <w:tc>
          <w:tcPr>
            <w:tcW w:type="dxa" w:w="1000"/>
            <w:tcMar>
              <w:top w:type="dxa" w:w="80"/>
              <w:left w:type="dxa" w:w="100"/>
              <w:bottom w:type="dxa" w:w="80"/>
              <w:right w:type="dxa" w:w="100"/>
            </w:tcMar>
          </w:tcPr>
          <w:p>
            <w:r>
              <w:rPr>
                <w:b w:val="false"/>
                <w:bCs w:val="false"/>
              </w:rPr>
              <w:t xml:space="preserve">Number</w:t>
            </w:r>
          </w:p>
        </w:tc>
        <w:tc>
          <w:tcPr>
            <w:tcW w:type="dxa" w:w="1400"/>
            <w:tcMar>
              <w:top w:type="dxa" w:w="80"/>
              <w:left w:type="dxa" w:w="100"/>
              <w:bottom w:type="dxa" w:w="80"/>
              <w:right w:type="dxa" w:w="100"/>
            </w:tcMar>
          </w:tcPr>
          <w:p>
            <w:r>
              <w:rPr>
                <w:b w:val="false"/>
                <w:bCs w:val="false"/>
              </w:rPr>
              <w:t xml:space="preserve">S30, S30b</w:t>
            </w:r>
          </w:p>
        </w:tc>
        <w:tc>
          <w:tcPr>
            <w:tcW w:type="dxa" w:w="4800"/>
            <w:tcMar>
              <w:top w:type="dxa" w:w="80"/>
              <w:left w:type="dxa" w:w="100"/>
              <w:bottom w:type="dxa" w:w="80"/>
              <w:right w:type="dxa" w:w="100"/>
            </w:tcMar>
          </w:tcPr>
          <w:p>
            <w:r>
              <w:rPr>
                <w:b w:val="false"/>
                <w:bCs w:val="false"/>
              </w:rPr>
              <w:t xml:space="preserve">What the system proposed — blank if the teacher entered cold.</w:t>
            </w:r>
          </w:p>
        </w:tc>
      </w:tr>
      <w:tr>
        <w:tc>
          <w:tcPr>
            <w:tcW w:type="dxa" w:w="2600"/>
            <w:tcMar>
              <w:top w:type="dxa" w:w="80"/>
              <w:left w:type="dxa" w:w="100"/>
              <w:bottom w:type="dxa" w:w="80"/>
              <w:right w:type="dxa" w:w="100"/>
            </w:tcMar>
          </w:tcPr>
          <w:p>
            <w:r>
              <w:rPr>
                <w:b w:val="false"/>
                <w:bCs w:val="false"/>
              </w:rPr>
              <w:t xml:space="preserve">final_rating</w:t>
            </w:r>
          </w:p>
        </w:tc>
        <w:tc>
          <w:tcPr>
            <w:tcW w:type="dxa" w:w="1000"/>
            <w:tcMar>
              <w:top w:type="dxa" w:w="80"/>
              <w:left w:type="dxa" w:w="100"/>
              <w:bottom w:type="dxa" w:w="80"/>
              <w:right w:type="dxa" w:w="100"/>
            </w:tcMar>
          </w:tcPr>
          <w:p>
            <w:r>
              <w:rPr>
                <w:b w:val="false"/>
                <w:bCs w:val="false"/>
              </w:rPr>
              <w:t xml:space="preserve">Number</w:t>
            </w:r>
          </w:p>
        </w:tc>
        <w:tc>
          <w:tcPr>
            <w:tcW w:type="dxa" w:w="1400"/>
            <w:tcMar>
              <w:top w:type="dxa" w:w="80"/>
              <w:left w:type="dxa" w:w="100"/>
              <w:bottom w:type="dxa" w:w="80"/>
              <w:right w:type="dxa" w:w="100"/>
            </w:tcMar>
          </w:tcPr>
          <w:p>
            <w:r>
              <w:rPr>
                <w:b w:val="false"/>
                <w:bCs w:val="false"/>
              </w:rPr>
              <w:t xml:space="preserve">S30, S30b</w:t>
            </w:r>
          </w:p>
        </w:tc>
        <w:tc>
          <w:tcPr>
            <w:tcW w:type="dxa" w:w="4800"/>
            <w:tcMar>
              <w:top w:type="dxa" w:w="80"/>
              <w:left w:type="dxa" w:w="100"/>
              <w:bottom w:type="dxa" w:w="80"/>
              <w:right w:type="dxa" w:w="100"/>
            </w:tcMar>
          </w:tcPr>
          <w:p>
            <w:r>
              <w:rPr>
                <w:b w:val="false"/>
                <w:bCs w:val="false"/>
              </w:rPr>
              <w:t xml:space="preserve">What the teacher actually decided. 1–5, no restriction — the suggestible-range limit applies only to what the SYSTEM proposes.</w:t>
            </w:r>
          </w:p>
        </w:tc>
      </w:tr>
      <w:tr>
        <w:tc>
          <w:tcPr>
            <w:tcW w:type="dxa" w:w="2600"/>
            <w:tcMar>
              <w:top w:type="dxa" w:w="80"/>
              <w:left w:type="dxa" w:w="100"/>
              <w:bottom w:type="dxa" w:w="80"/>
              <w:right w:type="dxa" w:w="100"/>
            </w:tcMar>
          </w:tcPr>
          <w:p>
            <w:r>
              <w:rPr>
                <w:b w:val="false"/>
                <w:bCs w:val="false"/>
              </w:rPr>
              <w:t xml:space="preserve">decision_type</w:t>
            </w:r>
          </w:p>
        </w:tc>
        <w:tc>
          <w:tcPr>
            <w:tcW w:type="dxa" w:w="1000"/>
            <w:tcMar>
              <w:top w:type="dxa" w:w="80"/>
              <w:left w:type="dxa" w:w="100"/>
              <w:bottom w:type="dxa" w:w="80"/>
              <w:right w:type="dxa" w:w="100"/>
            </w:tcMar>
          </w:tcPr>
          <w:p>
            <w:r>
              <w:rPr>
                <w:b w:val="false"/>
                <w:bCs w:val="false"/>
              </w:rPr>
              <w:t xml:space="preserve">Enum</w:t>
            </w:r>
          </w:p>
        </w:tc>
        <w:tc>
          <w:tcPr>
            <w:tcW w:type="dxa" w:w="1400"/>
            <w:tcMar>
              <w:top w:type="dxa" w:w="80"/>
              <w:left w:type="dxa" w:w="100"/>
              <w:bottom w:type="dxa" w:w="80"/>
              <w:right w:type="dxa" w:w="100"/>
            </w:tcMar>
          </w:tcPr>
          <w:p>
            <w:r>
              <w:rPr>
                <w:b w:val="false"/>
                <w:bCs w:val="false"/>
              </w:rPr>
              <w:t xml:space="preserve">S30, S30b</w:t>
            </w:r>
          </w:p>
        </w:tc>
        <w:tc>
          <w:tcPr>
            <w:tcW w:type="dxa" w:w="4800"/>
            <w:tcMar>
              <w:top w:type="dxa" w:w="80"/>
              <w:left w:type="dxa" w:w="100"/>
              <w:bottom w:type="dxa" w:w="80"/>
              <w:right w:type="dxa" w:w="100"/>
            </w:tcMar>
          </w:tcPr>
          <w:p>
            <w:r>
              <w:rPr>
                <w:b w:val="false"/>
                <w:bCs w:val="false"/>
              </w:rPr>
              <w:t xml:space="preserve">CONFIRMED | OVERRIDDEN | RETRY_IMPROVED.</w:t>
            </w:r>
          </w:p>
        </w:tc>
      </w:tr>
      <w:tr>
        <w:tc>
          <w:tcPr>
            <w:tcW w:type="dxa" w:w="2600"/>
            <w:tcMar>
              <w:top w:type="dxa" w:w="80"/>
              <w:left w:type="dxa" w:w="100"/>
              <w:bottom w:type="dxa" w:w="80"/>
              <w:right w:type="dxa" w:w="100"/>
            </w:tcMar>
          </w:tcPr>
          <w:p>
            <w:r>
              <w:rPr>
                <w:b w:val="false"/>
                <w:bCs w:val="false"/>
              </w:rPr>
              <w:t xml:space="preserve">decided_at / decided_by</w:t>
            </w:r>
          </w:p>
        </w:tc>
        <w:tc>
          <w:tcPr>
            <w:tcW w:type="dxa" w:w="1000"/>
            <w:tcMar>
              <w:top w:type="dxa" w:w="80"/>
              <w:left w:type="dxa" w:w="100"/>
              <w:bottom w:type="dxa" w:w="80"/>
              <w:right w:type="dxa" w:w="100"/>
            </w:tcMar>
          </w:tcPr>
          <w:p>
            <w:r>
              <w:rPr>
                <w:b w:val="false"/>
                <w:bCs w:val="false"/>
              </w:rPr>
              <w:t xml:space="preserve">Mixed</w:t>
            </w:r>
          </w:p>
        </w:tc>
        <w:tc>
          <w:tcPr>
            <w:tcW w:type="dxa" w:w="1400"/>
            <w:tcMar>
              <w:top w:type="dxa" w:w="80"/>
              <w:left w:type="dxa" w:w="100"/>
              <w:bottom w:type="dxa" w:w="80"/>
              <w:right w:type="dxa" w:w="100"/>
            </w:tcMar>
          </w:tcPr>
          <w:p>
            <w:r>
              <w:rPr>
                <w:b w:val="false"/>
                <w:bCs w:val="false"/>
              </w:rPr>
              <w:t xml:space="preserve">S30, S30b</w:t>
            </w:r>
          </w:p>
        </w:tc>
        <w:tc>
          <w:tcPr>
            <w:tcW w:type="dxa" w:w="4800"/>
            <w:tcMar>
              <w:top w:type="dxa" w:w="80"/>
              <w:left w:type="dxa" w:w="100"/>
              <w:bottom w:type="dxa" w:w="80"/>
              <w:right w:type="dxa" w:w="100"/>
            </w:tcMar>
          </w:tcPr>
          <w:p>
            <w:r>
              <w:rPr>
                <w:b w:val="false"/>
                <w:bCs w:val="false"/>
              </w:rPr>
              <w:t xml:space="preserve">Timestamp and teacher email — every decision is attributed.</w:t>
            </w:r>
          </w:p>
        </w:tc>
      </w:tr>
      <w:tr>
        <w:tc>
          <w:tcPr>
            <w:tcW w:type="dxa" w:w="2600"/>
            <w:tcMar>
              <w:top w:type="dxa" w:w="80"/>
              <w:left w:type="dxa" w:w="100"/>
              <w:bottom w:type="dxa" w:w="80"/>
              <w:right w:type="dxa" w:w="100"/>
            </w:tcMar>
          </w:tcPr>
          <w:p>
            <w:r>
              <w:rPr>
                <w:b w:val="false"/>
                <w:bCs w:val="false"/>
              </w:rPr>
              <w:t xml:space="preserve">evidence_snapshot</w:t>
            </w:r>
          </w:p>
        </w:tc>
        <w:tc>
          <w:tcPr>
            <w:tcW w:type="dxa" w:w="1000"/>
            <w:tcMar>
              <w:top w:type="dxa" w:w="80"/>
              <w:left w:type="dxa" w:w="100"/>
              <w:bottom w:type="dxa" w:w="80"/>
              <w:right w:type="dxa" w:w="100"/>
            </w:tcMar>
          </w:tcPr>
          <w:p>
            <w:r>
              <w:rPr>
                <w:b w:val="false"/>
                <w:bCs w:val="false"/>
              </w:rPr>
              <w:t xml:space="preserve">Text</w:t>
            </w:r>
          </w:p>
        </w:tc>
        <w:tc>
          <w:tcPr>
            <w:tcW w:type="dxa" w:w="1400"/>
            <w:tcMar>
              <w:top w:type="dxa" w:w="80"/>
              <w:left w:type="dxa" w:w="100"/>
              <w:bottom w:type="dxa" w:w="80"/>
              <w:right w:type="dxa" w:w="100"/>
            </w:tcMar>
          </w:tcPr>
          <w:p>
            <w:r>
              <w:rPr>
                <w:b w:val="false"/>
                <w:bCs w:val="false"/>
              </w:rPr>
              <w:t xml:space="preserve">S30, S30b</w:t>
            </w:r>
          </w:p>
        </w:tc>
        <w:tc>
          <w:tcPr>
            <w:tcW w:type="dxa" w:w="4800"/>
            <w:tcMar>
              <w:top w:type="dxa" w:w="80"/>
              <w:left w:type="dxa" w:w="100"/>
              <w:bottom w:type="dxa" w:w="80"/>
              <w:right w:type="dxa" w:w="100"/>
            </w:tcMar>
          </w:tcPr>
          <w:p>
            <w:r>
              <w:rPr>
                <w:b w:val="false"/>
                <w:bCs w:val="false"/>
              </w:rPr>
              <w:t xml:space="preserve">Denormalized MET/NOT_MET/PARTIALLY_MET counts at decision time, for audit.</w:t>
            </w:r>
          </w:p>
        </w:tc>
      </w:tr>
    </w:tbl>
    <w:p>
      <w:pPr>
        <w:pStyle w:val="Heading3"/>
        <w:spacing w:after="100" w:before="200"/>
      </w:pPr>
      <w:r>
        <w:t xml:space="preserve">LessonPrimarySecondary</w:t>
      </w:r>
    </w:p>
    <w:p>
      <w:pPr>
        <w:spacing w:after="160"/>
      </w:pPr>
      <w:r>
        <w:t xml:space="preserve">One row per lesson_unit_id · Reference data, authored once per lesson · 3 columns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00"/>
        <w:gridCol w:w="4200"/>
      </w:tblGrid>
      <w:tr>
        <w:tc>
          <w:tcPr>
            <w:tcW w:type="dxa" w:w="1800"/>
            <w:shd w:fill="E2E8F0" w:val="clear"/>
            <w:tcMar>
              <w:top w:type="dxa" w:w="80"/>
              <w:left w:type="dxa" w:w="100"/>
              <w:bottom w:type="dxa" w:w="80"/>
              <w:right w:type="dxa" w:w="100"/>
            </w:tcMar>
          </w:tcPr>
          <w:p>
            <w:r>
              <w:rPr>
                <w:b/>
                <w:bCs/>
              </w:rPr>
              <w:t xml:space="preserve">Column</w:t>
            </w:r>
          </w:p>
        </w:tc>
        <w:tc>
          <w:tcPr>
            <w:tcW w:type="dxa" w:w="1000"/>
            <w:shd w:fill="E2E8F0" w:val="clear"/>
            <w:tcMar>
              <w:top w:type="dxa" w:w="80"/>
              <w:left w:type="dxa" w:w="100"/>
              <w:bottom w:type="dxa" w:w="80"/>
              <w:right w:type="dxa" w:w="100"/>
            </w:tcMar>
          </w:tcPr>
          <w:p>
            <w:r>
              <w:rPr>
                <w:b/>
                <w:bCs/>
              </w:rPr>
              <w:t xml:space="preserve">Type</w:t>
            </w:r>
          </w:p>
        </w:tc>
        <w:tc>
          <w:tcPr>
            <w:tcW w:type="dxa" w:w="1600"/>
            <w:shd w:fill="E2E8F0" w:val="clear"/>
            <w:tcMar>
              <w:top w:type="dxa" w:w="80"/>
              <w:left w:type="dxa" w:w="100"/>
              <w:bottom w:type="dxa" w:w="80"/>
              <w:right w:type="dxa" w:w="100"/>
            </w:tcMar>
          </w:tcPr>
          <w:p>
            <w:r>
              <w:rPr>
                <w:b/>
                <w:bCs/>
              </w:rPr>
              <w:t xml:space="preserve">Writer</w:t>
            </w:r>
          </w:p>
        </w:tc>
        <w:tc>
          <w:tcPr>
            <w:tcW w:type="dxa" w:w="4200"/>
            <w:shd w:fill="E2E8F0" w:val="clear"/>
            <w:tcMar>
              <w:top w:type="dxa" w:w="80"/>
              <w:left w:type="dxa" w:w="100"/>
              <w:bottom w:type="dxa" w:w="80"/>
              <w:right w:type="dxa" w:w="100"/>
            </w:tcMar>
          </w:tcPr>
          <w:p>
            <w:r>
              <w:rPr>
                <w:b/>
                <w:bCs/>
              </w:rPr>
              <w:t xml:space="preserve">Description</w:t>
            </w:r>
          </w:p>
        </w:tc>
      </w:tr>
      <w:tr>
        <w:tc>
          <w:tcPr>
            <w:tcW w:type="dxa" w:w="1800"/>
            <w:tcMar>
              <w:top w:type="dxa" w:w="80"/>
              <w:left w:type="dxa" w:w="100"/>
              <w:bottom w:type="dxa" w:w="80"/>
              <w:right w:type="dxa" w:w="100"/>
            </w:tcMar>
          </w:tcPr>
          <w:p>
            <w:r>
              <w:rPr>
                <w:b w:val="false"/>
                <w:bCs w:val="false"/>
              </w:rPr>
              <w:t xml:space="preserve">lesson_unit_id</w:t>
            </w:r>
          </w:p>
        </w:tc>
        <w:tc>
          <w:tcPr>
            <w:tcW w:type="dxa" w:w="1000"/>
            <w:tcMar>
              <w:top w:type="dxa" w:w="80"/>
              <w:left w:type="dxa" w:w="100"/>
              <w:bottom w:type="dxa" w:w="80"/>
              <w:right w:type="dxa" w:w="100"/>
            </w:tcMar>
          </w:tcPr>
          <w:p>
            <w:r>
              <w:rPr>
                <w:b w:val="false"/>
                <w:bCs w:val="false"/>
              </w:rPr>
              <w:t xml:space="preserve">String</w:t>
            </w:r>
          </w:p>
        </w:tc>
        <w:tc>
          <w:tcPr>
            <w:tcW w:type="dxa" w:w="1600"/>
            <w:tcMar>
              <w:top w:type="dxa" w:w="80"/>
              <w:left w:type="dxa" w:w="100"/>
              <w:bottom w:type="dxa" w:w="80"/>
              <w:right w:type="dxa" w:w="100"/>
            </w:tcMar>
          </w:tcPr>
          <w:p>
            <w:r>
              <w:rPr>
                <w:b w:val="false"/>
                <w:bCs w:val="false"/>
              </w:rPr>
              <w:t xml:space="preserve">Teacher / pacing guide</w:t>
            </w:r>
          </w:p>
        </w:tc>
        <w:tc>
          <w:tcPr>
            <w:tcW w:type="dxa" w:w="4200"/>
            <w:tcMar>
              <w:top w:type="dxa" w:w="80"/>
              <w:left w:type="dxa" w:w="100"/>
              <w:bottom w:type="dxa" w:w="80"/>
              <w:right w:type="dxa" w:w="100"/>
            </w:tcMar>
          </w:tcPr>
          <w:p>
            <w:r>
              <w:rPr>
                <w:b w:val="false"/>
                <w:bCs w:val="false"/>
              </w:rPr>
              <w:t xml:space="preserve">Matches the pacing guide's lesson_unit_id values (S0-U1 etc.).</w:t>
            </w:r>
          </w:p>
        </w:tc>
      </w:tr>
      <w:tr>
        <w:tc>
          <w:tcPr>
            <w:tcW w:type="dxa" w:w="1800"/>
            <w:tcMar>
              <w:top w:type="dxa" w:w="80"/>
              <w:left w:type="dxa" w:w="100"/>
              <w:bottom w:type="dxa" w:w="80"/>
              <w:right w:type="dxa" w:w="100"/>
            </w:tcMar>
          </w:tcPr>
          <w:p>
            <w:r>
              <w:rPr>
                <w:b w:val="false"/>
                <w:bCs w:val="false"/>
              </w:rPr>
              <w:t xml:space="preserve">primary_competency_id</w:t>
            </w:r>
          </w:p>
        </w:tc>
        <w:tc>
          <w:tcPr>
            <w:tcW w:type="dxa" w:w="1000"/>
            <w:tcMar>
              <w:top w:type="dxa" w:w="80"/>
              <w:left w:type="dxa" w:w="100"/>
              <w:bottom w:type="dxa" w:w="80"/>
              <w:right w:type="dxa" w:w="100"/>
            </w:tcMar>
          </w:tcPr>
          <w:p>
            <w:r>
              <w:rPr>
                <w:b w:val="false"/>
                <w:bCs w:val="false"/>
              </w:rPr>
              <w:t xml:space="preserve">String</w:t>
            </w:r>
          </w:p>
        </w:tc>
        <w:tc>
          <w:tcPr>
            <w:tcW w:type="dxa" w:w="1600"/>
            <w:tcMar>
              <w:top w:type="dxa" w:w="80"/>
              <w:left w:type="dxa" w:w="100"/>
              <w:bottom w:type="dxa" w:w="80"/>
              <w:right w:type="dxa" w:w="100"/>
            </w:tcMar>
          </w:tcPr>
          <w:p>
            <w:r>
              <w:rPr>
                <w:b w:val="false"/>
                <w:bCs w:val="false"/>
              </w:rPr>
              <w:t xml:space="preserve">Teacher</w:t>
            </w:r>
          </w:p>
        </w:tc>
        <w:tc>
          <w:tcPr>
            <w:tcW w:type="dxa" w:w="4200"/>
            <w:tcMar>
              <w:top w:type="dxa" w:w="80"/>
              <w:left w:type="dxa" w:w="100"/>
              <w:bottom w:type="dxa" w:w="80"/>
              <w:right w:type="dxa" w:w="100"/>
            </w:tcMar>
          </w:tcPr>
          <w:p>
            <w:r>
              <w:rPr>
                <w:b w:val="false"/>
                <w:bCs w:val="false"/>
              </w:rPr>
              <w:t xml:space="preserve">The one competency this lesson's assessment reports toward.</w:t>
            </w:r>
          </w:p>
        </w:tc>
      </w:tr>
      <w:tr>
        <w:tc>
          <w:tcPr>
            <w:tcW w:type="dxa" w:w="1800"/>
            <w:tcMar>
              <w:top w:type="dxa" w:w="80"/>
              <w:left w:type="dxa" w:w="100"/>
              <w:bottom w:type="dxa" w:w="80"/>
              <w:right w:type="dxa" w:w="100"/>
            </w:tcMar>
          </w:tcPr>
          <w:p>
            <w:r>
              <w:rPr>
                <w:b w:val="false"/>
                <w:bCs w:val="false"/>
              </w:rPr>
              <w:t xml:space="preserve">secondary_competency_ids</w:t>
            </w:r>
          </w:p>
        </w:tc>
        <w:tc>
          <w:tcPr>
            <w:tcW w:type="dxa" w:w="1000"/>
            <w:tcMar>
              <w:top w:type="dxa" w:w="80"/>
              <w:left w:type="dxa" w:w="100"/>
              <w:bottom w:type="dxa" w:w="80"/>
              <w:right w:type="dxa" w:w="100"/>
            </w:tcMar>
          </w:tcPr>
          <w:p>
            <w:r>
              <w:rPr>
                <w:b w:val="false"/>
                <w:bCs w:val="false"/>
              </w:rPr>
              <w:t xml:space="preserve">String</w:t>
            </w:r>
          </w:p>
        </w:tc>
        <w:tc>
          <w:tcPr>
            <w:tcW w:type="dxa" w:w="1600"/>
            <w:tcMar>
              <w:top w:type="dxa" w:w="80"/>
              <w:left w:type="dxa" w:w="100"/>
              <w:bottom w:type="dxa" w:w="80"/>
              <w:right w:type="dxa" w:w="100"/>
            </w:tcMar>
          </w:tcPr>
          <w:p>
            <w:r>
              <w:rPr>
                <w:b w:val="false"/>
                <w:bCs w:val="false"/>
              </w:rPr>
              <w:t xml:space="preserve">Teacher</w:t>
            </w:r>
          </w:p>
        </w:tc>
        <w:tc>
          <w:tcPr>
            <w:tcW w:type="dxa" w:w="4200"/>
            <w:tcMar>
              <w:top w:type="dxa" w:w="80"/>
              <w:left w:type="dxa" w:w="100"/>
              <w:bottom w:type="dxa" w:w="80"/>
              <w:right w:type="dxa" w:w="100"/>
            </w:tcMar>
          </w:tcPr>
          <w:p>
            <w:r>
              <w:rPr>
                <w:b w:val="false"/>
                <w:bCs w:val="false"/>
              </w:rPr>
              <w:t xml:space="preserve">Comma-separated. Any number of remediation-support competencies linked to this lesson's primary.</w:t>
            </w:r>
          </w:p>
        </w:tc>
      </w:tr>
    </w:tbl>
    <w:p>
      <w:pPr>
        <w:pStyle w:val="Heading2"/>
        <w:spacing w:after="120" w:before="300"/>
      </w:pPr>
      <w:r>
        <w:t xml:space="preserve">Setup — Deployment Checklist</w:t>
      </w:r>
    </w:p>
    <w:p>
      <w:pPr>
        <w:spacing w:after="160"/>
      </w:pPr>
      <w:r>
        <w:t xml:space="preserve">Eight steps. This module cannot go fully live until Flow 2 itself is built in Studio — steps 1-4 prepare everything Flow 2 will depend on; steps 5-8 are the Script 30/30b layer, independently testable once CompetencyEvidence has any real rows in it.</w:t>
      </w:r>
    </w:p>
    <w:p>
      <w:pPr>
        <w:spacing w:after="100"/>
      </w:pPr>
      <w:r>
        <w:rPr>
          <w:b/>
          <w:bCs/>
        </w:rPr>
        <w:t xml:space="preserve">1. Replace Script 08 with the corrected version</w:t>
      </w:r>
    </w:p>
    <w:p>
      <w:pPr>
        <w:spacing w:after="160"/>
      </w:pPr>
      <w:r>
        <w:t xml:space="preserve">Paste 08_TeacherConfirmationStep.js over the existing live file. Fixes the real TM08 comma defect and adds the four competency-tagging columns and fields.</w:t>
      </w:r>
    </w:p>
    <w:p>
      <w:pPr>
        <w:spacing w:after="100"/>
      </w:pPr>
      <w:r>
        <w:rPr>
          <w:b/>
          <w:bCs/>
        </w:rPr>
        <w:t xml:space="preserve">2. Apply the v2/v3 addendum to Script 16 — use the latest version only</w:t>
      </w:r>
    </w:p>
    <w:p>
      <w:pPr>
        <w:spacing w:after="160"/>
      </w:pPr>
      <w:r>
        <w:t xml:space="preserve">Paste the repaired Confirmation Form block and the extended extractFormEntryIds_() from 16_UnifiedManualSetup_M5_ADDENDUM_v2.js into 16_UnifiedManualSetup.js. Also paste in the Rubric Upload Form repair block (Repair Note 4, appended to the same file) — this fixes a pre-existing defect that would throw a syntax error on the first teacher setup run, independent of anything Module 5 added. Two placeholder titles in the Rubric Form block and one placeholder help text in the Confirmation Form block need real wording before setup is run — see Repair Notes 3 and 4 in the addendum file.</w:t>
      </w:r>
    </w:p>
    <w:p>
      <w:pPr>
        <w:spacing w:after="100"/>
      </w:pPr>
      <w:r>
        <w:rPr>
          <w:b/>
          <w:bCs/>
        </w:rPr>
        <w:t xml:space="preserve">3. Add the four new entry-ID lines to getSheetConfig_()</w:t>
      </w:r>
    </w:p>
    <w:p>
      <w:pPr>
        <w:spacing w:after="160"/>
      </w:pPr>
      <w:r>
        <w:t xml:space="preserve">Paste the four confirmEntryComp1..4 lines from 19_ClonedSheetConfig_M5_ADDENDUM.js into the return object inside getSheetConfig_(). This function does not generalize over key names — every new CONFIG key needs its own explicit line, permanently.</w:t>
      </w:r>
    </w:p>
    <w:p>
      <w:pPr>
        <w:spacing w:after="100"/>
      </w:pPr>
      <w:r>
        <w:rPr>
          <w:b/>
          <w:bCs/>
        </w:rPr>
        <w:t xml:space="preserve">4. Build Flow 2 in Workspace Studio for the first time</w:t>
      </w:r>
    </w:p>
    <w:p>
      <w:pPr>
        <w:spacing w:after="160"/>
      </w:pPr>
      <w:r>
        <w:t xml:space="preserve">Flow 2 has never been deployed. Use 15b_StudioFlowPrompts_Flow2_Revised.js as the complete build spec — trigger, all 8 steps including the new relay step and CompetencyEvidence write, and the revised system prompt. The relay step's exact connector type is an open implementation detail — confirmed feasible, not yet pinned to a specific Studio connector.</w:t>
      </w:r>
    </w:p>
    <w:p>
      <w:pPr>
        <w:spacing w:after="100"/>
      </w:pPr>
      <w:r>
        <w:rPr>
          <w:b/>
          <w:bCs/>
        </w:rPr>
        <w:t xml:space="preserve">5. Create the Module 5 tabs</w:t>
      </w:r>
    </w:p>
    <w:p>
      <w:pPr>
        <w:spacing w:after="160"/>
      </w:pPr>
      <w:r>
        <w:t xml:space="preserve">Run createSCRTabs_() from Script 30, then createLessonPrimarySecondaryTab_() from Script 30b. Both are safe to re-run — they skip tabs that already exist.</w:t>
      </w:r>
    </w:p>
    <w:p>
      <w:pPr>
        <w:spacing w:after="100"/>
      </w:pPr>
      <w:r>
        <w:rPr>
          <w:b/>
          <w:bCs/>
        </w:rPr>
        <w:t xml:space="preserve">6. Populate LessonPrimarySecondary — seed file available</w:t>
      </w:r>
    </w:p>
    <w:p>
      <w:pPr>
        <w:spacing w:after="160"/>
      </w:pPr>
      <w:r>
        <w:t xml:space="preserve">A seed CSV (LessonPrimarySecondary_Seed.csv) covers the 7 parallel units across both courses, derived from the official VDOE SOL correlation documents for 8175 and 8177. Import this CSV into the LessonPrimarySecondary tab to seed the parallel-unit rows. Add scaffold secondaries (prior-lesson-connection competencies from the lesson cards) for the remaining 13 non-parallel lesson units manually. The parallel-unit rows are the most defensible secondary connections and cover the most common remediation paths — the scaffold rows extend coverage further once the system has real data to validate threshold numbers against. NOTE: this seed CSV has still not been uploaded to this repo — treat step 6 as blocked until it is.</w:t>
      </w:r>
    </w:p>
    <w:p>
      <w:pPr>
        <w:spacing w:after="100"/>
      </w:pPr>
      <w:r>
        <w:rPr>
          <w:b/>
          <w:bCs/>
        </w:rPr>
        <w:t xml:space="preserve">7. Install the weekly trigger</w:t>
      </w:r>
    </w:p>
    <w:p>
      <w:pPr>
        <w:spacing w:after="160"/>
      </w:pPr>
      <w:r>
        <w:t xml:space="preserve">Run installSCRTrigger_() from Script 30. Installs runWeeklySCRSuggestionUpdate_ on a 7-day cadence at approximately 4am — one hour after Module 4's Script 29, to avoid both aggregation jobs contending for execution time in the same window.</w:t>
      </w:r>
    </w:p>
    <w:p>
      <w:pPr>
        <w:spacing w:after="100"/>
      </w:pPr>
      <w:r>
        <w:rPr>
          <w:b/>
          <w:bCs/>
        </w:rPr>
        <w:t xml:space="preserve">8. Smoke test before relying on this with real students</w:t>
      </w:r>
    </w:p>
    <w:p>
      <w:pPr>
        <w:spacing w:after="160"/>
      </w:pPr>
      <w:r>
        <w:t xml:space="preserve">Manually run runSCRUpdateNow_() rather than waiting a week. Confirm SCRSuggestions populates correctly against any existing CompetencyEvidence rows. Manually call checkRetryEligibility_() with a test student/competency pair against the 7 cases documented in this module's design notes before trusting the retry path with real decisions.</w:t>
      </w:r>
    </w:p>
    <w:p>
      <w:pPr>
        <w:spacing w:after="100"/>
      </w:pPr>
      <w:r>
        <w:rPr>
          <w:b/>
          <w:bCs/>
        </w:rPr>
        <w:t xml:space="preserve">This module cannot be fully tested until Flow 2 produces real CompetencyEvidence rows.</w:t>
      </w:r>
    </w:p>
    <w:p>
      <w:pPr>
        <w:spacing w:after="160"/>
      </w:pPr>
      <w:r>
        <w:t xml:space="preserve">Scripts 30 and 30b are independently syntax-valid and logic-tested against hand-built cases, but neither has run against real evidence data, because Flow 2 has never been deployed. Treat the threshold numbers (3 for primary suggestions, 5 and the 2x ratio for retries) as provisional until a real term's worth of data exists to check them against.</w:t>
      </w:r>
    </w:p>
    <w:p>
      <w:pPr>
        <w:pStyle w:val="Heading2"/>
        <w:spacing w:after="120" w:before="300"/>
      </w:pPr>
      <w:r>
        <w:t xml:space="preserve">Open Questions — What This Version Deliberately Does Not Solve</w:t>
      </w:r>
    </w:p>
    <w:p>
      <w:pPr>
        <w:spacing w:after="160"/>
      </w:pPr>
      <w:r>
        <w:t xml:space="preserve">Each item below was named explicitly during design rather than silently assumed. None of them block this version from running correctly within its stated scope.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c>
          <w:tcPr>
            <w:tcW w:type="dxa" w:w="2400"/>
            <w:shd w:fill="E2E8F0" w:val="clear"/>
            <w:tcMar>
              <w:top w:type="dxa" w:w="80"/>
              <w:left w:type="dxa" w:w="100"/>
              <w:bottom w:type="dxa" w:w="80"/>
              <w:right w:type="dxa" w:w="100"/>
            </w:tcMar>
          </w:tcPr>
          <w:p>
            <w:r>
              <w:rPr>
                <w:b/>
                <w:bCs/>
              </w:rPr>
              <w:t xml:space="preserve">Item</w:t>
            </w:r>
          </w:p>
        </w:tc>
        <w:tc>
          <w:tcPr>
            <w:tcW w:type="dxa" w:w="3600"/>
            <w:shd w:fill="E2E8F0" w:val="clear"/>
            <w:tcMar>
              <w:top w:type="dxa" w:w="80"/>
              <w:left w:type="dxa" w:w="100"/>
              <w:bottom w:type="dxa" w:w="80"/>
              <w:right w:type="dxa" w:w="100"/>
            </w:tcMar>
          </w:tcPr>
          <w:p>
            <w:r>
              <w:rPr>
                <w:b/>
                <w:bCs/>
              </w:rPr>
              <w:t xml:space="preserve">Question</w:t>
            </w:r>
          </w:p>
        </w:tc>
        <w:tc>
          <w:tcPr>
            <w:tcW w:type="dxa" w:w="3800"/>
            <w:shd w:fill="E2E8F0" w:val="clear"/>
            <w:tcMar>
              <w:top w:type="dxa" w:w="80"/>
              <w:left w:type="dxa" w:w="100"/>
              <w:bottom w:type="dxa" w:w="80"/>
              <w:right w:type="dxa" w:w="100"/>
            </w:tcMar>
          </w:tcPr>
          <w:p>
            <w:r>
              <w:rPr>
                <w:b/>
                <w:bCs/>
              </w:rPr>
              <w:t xml:space="preserve">Gates</w:t>
            </w:r>
          </w:p>
        </w:tc>
      </w:tr>
      <w:tr>
        <w:tc>
          <w:tcPr>
            <w:tcW w:type="dxa" w:w="2400"/>
            <w:tcMar>
              <w:top w:type="dxa" w:w="80"/>
              <w:left w:type="dxa" w:w="100"/>
              <w:bottom w:type="dxa" w:w="80"/>
              <w:right w:type="dxa" w:w="100"/>
            </w:tcMar>
          </w:tcPr>
          <w:p>
            <w:r>
              <w:rPr>
                <w:b w:val="false"/>
                <w:bCs w:val="false"/>
              </w:rPr>
              <w:t xml:space="preserve">REOPENING A DECIDED PAIR OUTSIDE THE RETRY PATH</w:t>
            </w:r>
          </w:p>
        </w:tc>
        <w:tc>
          <w:tcPr>
            <w:tcW w:type="dxa" w:w="3600"/>
            <w:tcMar>
              <w:top w:type="dxa" w:w="80"/>
              <w:left w:type="dxa" w:w="100"/>
              <w:bottom w:type="dxa" w:w="80"/>
              <w:right w:type="dxa" w:w="100"/>
            </w:tcMar>
          </w:tcPr>
          <w:p>
            <w:r>
              <w:rPr>
                <w:b w:val="false"/>
                <w:bCs w:val="false"/>
              </w:rPr>
              <w:t xml:space="preserve">If new PRIMARY evidence arrives for a competency already CONFIRMED/OVERRIDDEN — not via the retry mechanism — should anything happen?</w:t>
            </w:r>
          </w:p>
        </w:tc>
        <w:tc>
          <w:tcPr>
            <w:tcW w:type="dxa" w:w="3800"/>
            <w:tcMar>
              <w:top w:type="dxa" w:w="80"/>
              <w:left w:type="dxa" w:w="100"/>
              <w:bottom w:type="dxa" w:w="80"/>
              <w:right w:type="dxa" w:w="100"/>
            </w:tcMar>
          </w:tcPr>
          <w:p>
            <w:r>
              <w:rPr>
                <w:b w:val="false"/>
                <w:bCs w:val="false"/>
              </w:rPr>
              <w:t xml:space="preserve">Currently nothing — the pair stays frozen. A teacher-initiated 'reopen' action (distinct from the automatic retry-eligibility check) is a real future need, not built here to avoid guessing at an untested trigger condition.</w:t>
            </w:r>
          </w:p>
        </w:tc>
      </w:tr>
      <w:tr>
        <w:tc>
          <w:tcPr>
            <w:tcW w:type="dxa" w:w="2400"/>
            <w:tcMar>
              <w:top w:type="dxa" w:w="80"/>
              <w:left w:type="dxa" w:w="100"/>
              <w:bottom w:type="dxa" w:w="80"/>
              <w:right w:type="dxa" w:w="100"/>
            </w:tcMar>
          </w:tcPr>
          <w:p>
            <w:r>
              <w:rPr>
                <w:b w:val="false"/>
                <w:bCs w:val="false"/>
              </w:rPr>
              <w:t xml:space="preserve">RELAY STEP'S EXACT CONNECTOR</w:t>
            </w:r>
          </w:p>
        </w:tc>
        <w:tc>
          <w:tcPr>
            <w:tcW w:type="dxa" w:w="3600"/>
            <w:tcMar>
              <w:top w:type="dxa" w:w="80"/>
              <w:left w:type="dxa" w:w="100"/>
              <w:bottom w:type="dxa" w:w="80"/>
              <w:right w:type="dxa" w:w="100"/>
            </w:tcMar>
          </w:tcPr>
          <w:p>
            <w:r>
              <w:rPr>
                <w:b w:val="false"/>
                <w:bCs w:val="false"/>
              </w:rPr>
              <w:t xml:space="preserve">What specific Studio Flow connector type performs the Gemini-output split?</w:t>
            </w:r>
          </w:p>
        </w:tc>
        <w:tc>
          <w:tcPr>
            <w:tcW w:type="dxa" w:w="3800"/>
            <w:tcMar>
              <w:top w:type="dxa" w:w="80"/>
              <w:left w:type="dxa" w:w="100"/>
              <w:bottom w:type="dxa" w:w="80"/>
              <w:right w:type="dxa" w:w="100"/>
            </w:tcMar>
          </w:tcPr>
          <w:p>
            <w:r>
              <w:rPr>
                <w:b w:val="false"/>
                <w:bCs w:val="false"/>
              </w:rPr>
              <w:t xml:space="preserve">Confirmed feasible in principle. The exact connector is left for whoever builds Flow 2 to select from what Studio's editor actually offers.</w:t>
            </w:r>
          </w:p>
        </w:tc>
      </w:tr>
      <w:tr>
        <w:tc>
          <w:tcPr>
            <w:tcW w:type="dxa" w:w="2400"/>
            <w:tcMar>
              <w:top w:type="dxa" w:w="80"/>
              <w:left w:type="dxa" w:w="100"/>
              <w:bottom w:type="dxa" w:w="80"/>
              <w:right w:type="dxa" w:w="100"/>
            </w:tcMar>
          </w:tcPr>
          <w:p>
            <w:r>
              <w:rPr>
                <w:b w:val="false"/>
                <w:bCs w:val="false"/>
              </w:rPr>
              <w:t xml:space="preserve">RETRY THRESHOLD NUMBERS</w:t>
            </w:r>
          </w:p>
        </w:tc>
        <w:tc>
          <w:tcPr>
            <w:tcW w:type="dxa" w:w="3600"/>
            <w:tcMar>
              <w:top w:type="dxa" w:w="80"/>
              <w:left w:type="dxa" w:w="100"/>
              <w:bottom w:type="dxa" w:w="80"/>
              <w:right w:type="dxa" w:w="100"/>
            </w:tcMar>
          </w:tcPr>
          <w:p>
            <w:r>
              <w:rPr>
                <w:b w:val="false"/>
                <w:bCs w:val="false"/>
              </w:rPr>
              <w:t xml:space="preserve">Are 5 (total MET) and 2x (secondary-to-primary-NOT_MET ratio) the right numbers long-term?</w:t>
            </w:r>
          </w:p>
        </w:tc>
        <w:tc>
          <w:tcPr>
            <w:tcW w:type="dxa" w:w="3800"/>
            <w:tcMar>
              <w:top w:type="dxa" w:w="80"/>
              <w:left w:type="dxa" w:w="100"/>
              <w:bottom w:type="dxa" w:w="80"/>
              <w:right w:type="dxa" w:w="100"/>
            </w:tcMar>
          </w:tcPr>
          <w:p>
            <w:r>
              <w:rPr>
                <w:b w:val="false"/>
                <w:bCs w:val="false"/>
              </w:rPr>
              <w:t xml:space="preserve">These replaced an earlier zero-tolerance rule identified as a real blocker. Both numbers are reasonable defaults, not validated against real student data yet — revisit once a term of real evidence exists.</w:t>
            </w:r>
          </w:p>
        </w:tc>
      </w:tr>
      <w:tr>
        <w:tc>
          <w:tcPr>
            <w:tcW w:type="dxa" w:w="2400"/>
            <w:tcMar>
              <w:top w:type="dxa" w:w="80"/>
              <w:left w:type="dxa" w:w="100"/>
              <w:bottom w:type="dxa" w:w="80"/>
              <w:right w:type="dxa" w:w="100"/>
            </w:tcMar>
          </w:tcPr>
          <w:p>
            <w:r>
              <w:rPr>
                <w:b w:val="false"/>
                <w:bCs w:val="false"/>
              </w:rPr>
              <w:t xml:space="preserve">"PASSING STANDARD" HELP TEXT WORDING</w:t>
            </w:r>
          </w:p>
        </w:tc>
        <w:tc>
          <w:tcPr>
            <w:tcW w:type="dxa" w:w="3600"/>
            <w:tcMar>
              <w:top w:type="dxa" w:w="80"/>
              <w:left w:type="dxa" w:w="100"/>
              <w:bottom w:type="dxa" w:w="80"/>
              <w:right w:type="dxa" w:w="100"/>
            </w:tcMar>
          </w:tcPr>
          <w:p>
            <w:r>
              <w:rPr>
                <w:b w:val="false"/>
                <w:bCs w:val="false"/>
              </w:rPr>
              <w:t xml:space="preserve">The Confirmation Form's help text for this field was reconstructed to close broken syntax in pasted source — the actual original wording was not recoverable.</w:t>
            </w:r>
          </w:p>
        </w:tc>
        <w:tc>
          <w:tcPr>
            <w:tcW w:type="dxa" w:w="3800"/>
            <w:tcMar>
              <w:top w:type="dxa" w:w="80"/>
              <w:left w:type="dxa" w:w="100"/>
              <w:bottom w:type="dxa" w:w="80"/>
              <w:right w:type="dxa" w:w="100"/>
            </w:tcMar>
          </w:tcPr>
          <w:p>
            <w:r>
              <w:rPr>
                <w:b w:val="false"/>
                <w:bCs w:val="false"/>
              </w:rPr>
              <w:t xml:space="preserve">Cosmetic only — does not affect functionality. Flagged in 16_..._v2.js REPAIR NOTE 3. Replace before calling that file final.</w:t>
            </w:r>
          </w:p>
        </w:tc>
      </w:tr>
      <w:tr>
        <w:tc>
          <w:tcPr>
            <w:tcW w:type="dxa" w:w="2400"/>
            <w:tcMar>
              <w:top w:type="dxa" w:w="80"/>
              <w:left w:type="dxa" w:w="100"/>
              <w:bottom w:type="dxa" w:w="80"/>
              <w:right w:type="dxa" w:w="100"/>
            </w:tcMar>
          </w:tcPr>
          <w:p>
            <w:r>
              <w:rPr>
                <w:b w:val="false"/>
                <w:bCs w:val="false"/>
              </w:rPr>
              <w:t xml:space="preserve">TWO RUBRIC FORM FIELD TITLES</w:t>
            </w:r>
          </w:p>
        </w:tc>
        <w:tc>
          <w:tcPr>
            <w:tcW w:type="dxa" w:w="3600"/>
            <w:tcMar>
              <w:top w:type="dxa" w:w="80"/>
              <w:left w:type="dxa" w:w="100"/>
              <w:bottom w:type="dxa" w:w="80"/>
              <w:right w:type="dxa" w:w="100"/>
            </w:tcMar>
          </w:tcPr>
          <w:p>
            <w:r>
              <w:rPr>
                <w:b w:val="false"/>
                <w:bCs w:val="false"/>
              </w:rPr>
              <w:t xml:space="preserve">The Rubric Upload Form block had two items with titles cut off in the source — placeholder titles used.</w:t>
            </w:r>
          </w:p>
        </w:tc>
        <w:tc>
          <w:tcPr>
            <w:tcW w:type="dxa" w:w="3800"/>
            <w:tcMar>
              <w:top w:type="dxa" w:w="80"/>
              <w:left w:type="dxa" w:w="100"/>
              <w:bottom w:type="dxa" w:w="80"/>
              <w:right w:type="dxa" w:w="100"/>
            </w:tcMar>
          </w:tcPr>
          <w:p>
            <w:r>
              <w:rPr>
                <w:b w:val="false"/>
                <w:bCs w:val="false"/>
              </w:rPr>
              <w:t xml:space="preserve">Replace before running setup for the first time. Flagged in 16_..._v2.js REPAIR NOTE 4. Cosmetic but affects what teachers see on the form.</w:t>
            </w:r>
          </w:p>
        </w:tc>
      </w:tr>
      <w:tr>
        <w:tc>
          <w:tcPr>
            <w:tcW w:type="dxa" w:w="2400"/>
            <w:tcMar>
              <w:top w:type="dxa" w:w="80"/>
              <w:left w:type="dxa" w:w="100"/>
              <w:bottom w:type="dxa" w:w="80"/>
              <w:right w:type="dxa" w:w="100"/>
            </w:tcMar>
          </w:tcPr>
          <w:p>
            <w:r>
              <w:rPr>
                <w:b w:val="false"/>
                <w:bCs w:val="false"/>
              </w:rPr>
              <w:t xml:space="preserve">TeacherMatrix NEEDS A lesson_unit_id COLUMN</w:t>
            </w:r>
          </w:p>
        </w:tc>
        <w:tc>
          <w:tcPr>
            <w:tcW w:type="dxa" w:w="3600"/>
            <w:tcMar>
              <w:top w:type="dxa" w:w="80"/>
              <w:left w:type="dxa" w:w="100"/>
              <w:bottom w:type="dxa" w:w="80"/>
              <w:right w:type="dxa" w:w="100"/>
            </w:tcMar>
          </w:tcPr>
          <w:p>
            <w:r>
              <w:rPr>
                <w:b w:val="false"/>
                <w:bCs w:val="false"/>
              </w:rPr>
              <w:t xml:space="preserve">Flow 2's Step 5b needs to know which pacing-guide lesson an assignment belongs to, to look up PRIMARY vs. SECONDARY role in LessonPrimarySecondary. This column does not exist on TeacherMatrix yet.</w:t>
            </w:r>
          </w:p>
        </w:tc>
        <w:tc>
          <w:tcPr>
            <w:tcW w:type="dxa" w:w="3800"/>
            <w:tcMar>
              <w:top w:type="dxa" w:w="80"/>
              <w:left w:type="dxa" w:w="100"/>
              <w:bottom w:type="dxa" w:w="80"/>
              <w:right w:type="dxa" w:w="100"/>
            </w:tcMar>
          </w:tcPr>
          <w:p>
            <w:r>
              <w:rPr>
                <w:b w:val="false"/>
                <w:bCs w:val="false"/>
              </w:rPr>
              <w:t xml:space="preserve">RESTORED FROM v1.0 (dropped in _alt — see merge note at the top of this document). Named explicitly in 30b's file header as the next concrete gap — the same kind of dependency that was found and closed for getSheetConfig_() earlier in this module's build. Independently confirmed elsewhere in this repo (cas-ccps README Known Gaps) as still true today.</w:t>
            </w:r>
          </w:p>
        </w:tc>
      </w:tr>
    </w:tbl>
    <w:p>
      <w:pPr>
        <w:pBdr>
          <w:top w:val="single" w:color="C0C0C0" w:sz="6"/>
        </w:pBdr>
        <w:spacing w:after="200" w:before="300"/>
      </w:pPr>
    </w:p>
    <w:p>
      <w:pPr>
        <w:spacing w:after="80"/>
        <w:jc w:val="center"/>
      </w:pPr>
      <w:r>
        <w:rPr>
          <w:color w:val="6B6560"/>
          <w:sz w:val="18"/>
          <w:szCs w:val="18"/>
        </w:rPr>
        <w:t xml:space="preserve">Classroom Agency System · Module 5 · SCR Suggestion &amp; Remediation Engine · Documentation v1.1 (merged)</w:t>
      </w:r>
    </w:p>
    <w:p>
      <w:pPr>
        <w:spacing w:after="80"/>
        <w:jc w:val="center"/>
      </w:pPr>
      <w:r>
        <w:rPr>
          <w:color w:val="6B6560"/>
          <w:sz w:val="18"/>
          <w:szCs w:val="18"/>
        </w:rPr>
        <w:t xml:space="preserve">Scripts: 08 (replaces live file) · 16 M5 addendum v2/v3/v4 · 19 M5 addendum · 15b (Flow 2 spec) · 30 (new) · 30b (new)</w:t>
      </w:r>
    </w:p>
    <w:p>
      <w:pPr>
        <w:jc w:val="center"/>
      </w:pPr>
      <w:r>
        <w:rPr>
          <w:color w:val="6B6560"/>
          <w:sz w:val="18"/>
          <w:szCs w:val="18"/>
        </w:rPr>
        <w:t xml:space="preserve">Depends on: M1 Ledger (roster, student identity) · M2 CompetencyRegistry (competency text + dropdown source) — does not modify M2 data tables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2026-08-08T12:52:21.683Z</dcterms:created>
  <dcterms:modified xsi:type="dcterms:W3CDTF">2026-08-08T12:52:21.683Z</dcterms:modified>
</cp:coreProperties>
</file>

<file path=docProps/custom.xml><?xml version="1.0" encoding="utf-8"?>
<Properties xmlns="http://schemas.openxmlformats.org/officeDocument/2006/custom-properties" xmlns:vt="http://schemas.openxmlformats.org/officeDocument/2006/docPropsVTypes"/>
</file>