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3557" w:val="clear"/>
            <w:tcMar>
              <w:top w:type="dxa" w:w="120"/>
              <w:left w:type="dxa" w:w="160"/>
              <w:bottom w:type="dxa" w:w="120"/>
              <w:right w:type="dxa" w:w="160"/>
            </w:tcMar>
          </w:tcPr>
          <w:p>
            <w:r>
              <w:rPr>
                <w:rFonts w:ascii="Arial" w:cs="Arial" w:eastAsia="Arial" w:hAnsi="Arial"/>
                <w:b/>
                <w:bCs/>
                <w:color w:val="FFFFFF"/>
                <w:sz w:val="24"/>
                <w:szCs w:val="24"/>
              </w:rPr>
              <w:t xml:space="preserve">SPORTS, ENTERTAINMENT &amp; EVENT MARKETING / MANAGEMENT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44210" w:val="clear"/>
            <w:tcMar>
              <w:top w:type="dxa" w:w="120"/>
              <w:left w:type="dxa" w:w="160"/>
              <w:bottom w:type="dxa" w:w="120"/>
              <w:right w:type="dxa" w:w="160"/>
            </w:tcMar>
          </w:tcPr>
          <w:p>
            <w:r>
              <w:rPr>
                <w:rFonts w:ascii="Arial" w:cs="Arial" w:eastAsia="Arial" w:hAnsi="Arial"/>
                <w:b/>
                <w:bCs/>
                <w:color w:val="FFFFFF"/>
                <w:sz w:val="24"/>
                <w:szCs w:val="24"/>
              </w:rPr>
              <w:t xml:space="preserve">LESSON CARDS — STAGE 4: PRICE</w:t>
            </w:r>
          </w:p>
        </w:tc>
      </w:tr>
    </w:tbl>
    <w:p>
      <w:pPr>
        <w:spacing w:after="0" w:before="120"/>
      </w:pPr>
      <w:r>
        <w:t xml:space="preserve"/>
      </w:r>
    </w:p>
    <w:p>
      <w:pPr>
        <w:spacing w:after="60" w:before="60"/>
        <w:jc w:val="left"/>
      </w:pPr>
      <w:r>
        <w:rPr>
          <w:rFonts w:ascii="Arial" w:cs="Arial" w:eastAsia="Arial" w:hAnsi="Arial"/>
          <w:b w:val="false"/>
          <w:bCs w:val="false"/>
          <w:i/>
          <w:iCs/>
          <w:color w:val="555555"/>
          <w:sz w:val="24"/>
          <w:szCs w:val="24"/>
        </w:rPr>
        <w:t xml:space="preserve">What does it cost to make, and what can we charge for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Distribution 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Price — where cost structure meets market willingness to pay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Courses covered</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8175 Sports, Entertainment &amp; Event Marketing  |  8177 Sports, Entertainment &amp; Event Management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Lesson units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 unit: Pricing Strategies &amp; Revenue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Prerequisite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3 complete — market research report delivered, Wholesale Manager sourcing brief approved, first purchase order authorized</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Conglomerate milestone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By end of Stage 4: all School Store SKUs have a documented price with strategy rationale; conglomerate budget v1.0 drafted; first financial statement template in use</w:t>
            </w:r>
          </w:p>
        </w:tc>
      </w:tr>
    </w:tbl>
    <w:p>
      <w:pPr>
        <w:spacing w:after="0" w:before="120"/>
      </w:pPr>
      <w:r>
        <w:t xml:space="preserve"/>
      </w:r>
    </w:p>
    <w:p>
      <w:pPr>
        <w:spacing w:after="60" w:before="60"/>
        <w:jc w:val="left"/>
      </w:pPr>
      <w:r>
        <w:rPr>
          <w:rFonts w:ascii="Arial" w:cs="Arial" w:eastAsia="Arial" w:hAnsi="Arial"/>
          <w:b w:val="false"/>
          <w:bCs w:val="false"/>
          <w:i/>
          <w:iCs/>
          <w:color w:val="444444"/>
          <w:sz w:val="22"/>
          <w:szCs w:val="22"/>
        </w:rPr>
        <w:t xml:space="preserve">Stage 4 is where abstraction ends. The Wholesale Manager has cost-of-goods data from the first purchase order. The market research from Stage 3 has price sensitivity findings. The product catalog from Stage 2 has SKU descriptions. This unit is where those three inputs converge into a price tag — and where students learn that pricing is a strategic decision, not a math problem. The 8177 budget deliverable produced here becomes the financial baseline the Store Manager tracks against for the rest of the year.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44210" w:val="clear"/>
            <w:tcMar>
              <w:top w:type="dxa" w:w="120"/>
              <w:left w:type="dxa" w:w="160"/>
              <w:bottom w:type="dxa" w:w="120"/>
              <w:right w:type="dxa" w:w="160"/>
            </w:tcMar>
          </w:tcPr>
          <w:p>
            <w:r>
              <w:rPr>
                <w:rFonts w:ascii="Arial" w:cs="Arial" w:eastAsia="Arial" w:hAnsi="Arial"/>
                <w:b/>
                <w:bCs/>
                <w:color w:val="FFFFFF"/>
                <w:sz w:val="24"/>
                <w:szCs w:val="24"/>
              </w:rPr>
              <w:t xml:space="preserve">STAGE 4  ·  PRICE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Pricing Strategies &amp; Revenue</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BA751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Complementary</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+ 8177</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66–67</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85–88</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Complementary — 8175 teaches pricing strategy; 8177 adds budget, revenue sources, expenditures, and financial statements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Price — the intersection of cost structure, market conditions, and strategic positioning</w:t>
            </w:r>
          </w:p>
        </w:tc>
      </w:tr>
    </w:tbl>
    <w:p>
      <w:pPr>
        <w:spacing w:after="0" w:before="120"/>
      </w:pPr>
      <w:r>
        <w:t xml:space="preserve"/>
      </w:r>
    </w:p>
    <w:p>
      <w:pPr>
        <w:pBdr>
          <w:bottom w:val="single" w:color="744210" w:sz="4" w:space="2"/>
        </w:pBdr>
        <w:spacing w:after="60" w:before="200"/>
      </w:pPr>
      <w:r>
        <w:rPr>
          <w:rFonts w:ascii="Arial" w:cs="Arial" w:eastAsia="Arial" w:hAnsi="Arial"/>
          <w:b/>
          <w:bCs/>
          <w:color w:val="744210"/>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can explain the factors that affect pricing decisions and identify pricing strategies used in the sports, entertainment, and event industries.</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identify budget components, identify revenue sources and expenditures in the industry, and analyze financial statements.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Set a defensible price for every item in the school store product catalog — and explain the strategy behind each decision using cost data, market research findings, and competitive context. Management students will also produce the conglomerate's first operational budget.</w:t>
            </w:r>
          </w:p>
        </w:tc>
      </w:tr>
    </w:tbl>
    <w:p>
      <w:pPr>
        <w:spacing w:after="0" w:before="120"/>
      </w:pPr>
      <w:r>
        <w:t xml:space="preserve"/>
      </w:r>
    </w:p>
    <w:p>
      <w:pPr>
        <w:pBdr>
          <w:bottom w:val="single" w:color="744210" w:sz="4" w:space="2"/>
        </w:pBdr>
        <w:spacing w:after="60" w:before="200"/>
      </w:pPr>
      <w:r>
        <w:rPr>
          <w:rFonts w:ascii="Arial" w:cs="Arial" w:eastAsia="Arial" w:hAnsi="Arial"/>
          <w:b/>
          <w:bCs/>
          <w:color w:val="744210"/>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pPr>
              <w:spacing w:before="0"/>
            </w:pPr>
            <w:r>
              <w:rPr>
                <w:rFonts w:ascii="Arial" w:cs="Arial" w:eastAsia="Arial" w:hAnsi="Arial"/>
                <w:i/>
                <w:iCs/>
                <w:sz w:val="20"/>
                <w:szCs w:val="20"/>
              </w:rPr>
              <w:t xml:space="preserve">The school store is about to price its first jersey run. The blank garment cost $8. Sublimation ink and transfer paper add $3. The design took two hours of Creative Studio time. Shipping was $1.50 per unit. You surveyed students and found they'd pay up to $28 before demand dropped significantly. What do you charge — and what does that decision tell you about this business?</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The warm-up is not hypothetical — these are realistic numbers for a sublimation jersey run. Students are pricing a real product using real cost data. The answer they arrive at is a business decision, not a worksheet answer. The Store Manager will use this logic to price the actual first inventory run.</w:t>
      </w:r>
    </w:p>
    <w:p>
      <w:pPr>
        <w:spacing w:after="0" w:before="120"/>
      </w:pPr>
      <w:r>
        <w:t xml:space="preserve"/>
      </w:r>
    </w:p>
    <w:p>
      <w:pPr>
        <w:pBdr>
          <w:bottom w:val="single" w:color="744210" w:sz="4" w:space="2"/>
        </w:pBdr>
        <w:spacing w:after="60" w:before="200"/>
      </w:pPr>
      <w:r>
        <w:rPr>
          <w:rFonts w:ascii="Arial" w:cs="Arial" w:eastAsia="Arial" w:hAnsi="Arial"/>
          <w:b/>
          <w:bCs/>
          <w:color w:val="744210"/>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Pricing factors: every pricing decision is shaped by cost of goods (COGS), competitive pricing, consumer demand and price sensitivity, organizational goals (profit maximization vs. market penetration vs. brand positioning), and legal constraints (price fixing, minimum resale pricing).</w:t>
      </w:r>
    </w:p>
    <w:p>
      <w:pPr>
        <w:pStyle w:val="ListParagraph"/>
        <w:numPr>
          <w:ilvl w:val="0"/>
          <w:numId w:val="2"/>
        </w:numPr>
        <w:spacing w:after="40" w:before="40"/>
      </w:pPr>
      <w:r>
        <w:rPr>
          <w:rFonts w:ascii="Arial" w:cs="Arial" w:eastAsia="Arial" w:hAnsi="Arial"/>
          <w:sz w:val="22"/>
          <w:szCs w:val="22"/>
        </w:rPr>
        <w:t xml:space="preserve">Cost-plus pricing: start with COGS, add overhead allocation, add a target margin. Simple and transparent, but blind to what the market will actually bear. A $12 jersey that cost $12.50 to produce at cost-plus is a loss — a pricing failure, not a production failure.</w:t>
      </w:r>
    </w:p>
    <w:p>
      <w:pPr>
        <w:pStyle w:val="ListParagraph"/>
        <w:numPr>
          <w:ilvl w:val="0"/>
          <w:numId w:val="2"/>
        </w:numPr>
        <w:spacing w:after="40" w:before="40"/>
      </w:pPr>
      <w:r>
        <w:rPr>
          <w:rFonts w:ascii="Arial" w:cs="Arial" w:eastAsia="Arial" w:hAnsi="Arial"/>
          <w:sz w:val="22"/>
          <w:szCs w:val="22"/>
        </w:rPr>
        <w:t xml:space="preserve">Value-based pricing: set price based on perceived value to the customer, not production cost. An esports jersey with the school's official team branding has higher perceived value than a generic shirt of identical production cost. Brand identity work from Stage 2 directly affects the price ceiling here.</w:t>
      </w:r>
    </w:p>
    <w:p>
      <w:pPr>
        <w:pStyle w:val="ListParagraph"/>
        <w:numPr>
          <w:ilvl w:val="0"/>
          <w:numId w:val="2"/>
        </w:numPr>
        <w:spacing w:after="40" w:before="40"/>
      </w:pPr>
      <w:r>
        <w:rPr>
          <w:rFonts w:ascii="Arial" w:cs="Arial" w:eastAsia="Arial" w:hAnsi="Arial"/>
          <w:sz w:val="22"/>
          <w:szCs w:val="22"/>
        </w:rPr>
        <w:t xml:space="preserve">Competitive pricing: price relative to alternatives. If the nearest competitor for school spirit wear is a mass-market online retailer at $22, the school store's custom sublimation jersey at $28 needs a clear value proposition to justify the premium — which the brand guide provides.</w:t>
      </w:r>
    </w:p>
    <w:p>
      <w:pPr>
        <w:pStyle w:val="ListParagraph"/>
        <w:numPr>
          <w:ilvl w:val="0"/>
          <w:numId w:val="2"/>
        </w:numPr>
        <w:spacing w:after="40" w:before="40"/>
      </w:pPr>
      <w:r>
        <w:rPr>
          <w:rFonts w:ascii="Arial" w:cs="Arial" w:eastAsia="Arial" w:hAnsi="Arial"/>
          <w:sz w:val="22"/>
          <w:szCs w:val="22"/>
        </w:rPr>
        <w:t xml:space="preserve">Penetration pricing vs. price skimming: penetration sets a low initial price to build market share quickly (useful for launching the school store). Skimming sets a high initial price for early adopters before reducing over time (useful for limited-edition drops).</w:t>
      </w:r>
    </w:p>
    <w:p>
      <w:pPr>
        <w:pStyle w:val="ListParagraph"/>
        <w:numPr>
          <w:ilvl w:val="0"/>
          <w:numId w:val="2"/>
        </w:numPr>
        <w:spacing w:after="40" w:before="40"/>
      </w:pPr>
      <w:r>
        <w:rPr>
          <w:rFonts w:ascii="Arial" w:cs="Arial" w:eastAsia="Arial" w:hAnsi="Arial"/>
          <w:sz w:val="22"/>
          <w:szCs w:val="22"/>
        </w:rPr>
        <w:t xml:space="preserve">Psychological pricing: $24.99 reads as significantly cheaper than $25.00 even though the difference is one cent. Bundling (jersey + lanyard + sticker pack for $32) increases average transaction value. These are real techniques used by every sports merchandise operation.</w:t>
      </w:r>
    </w:p>
    <w:p>
      <w:pPr>
        <w:pStyle w:val="ListParagraph"/>
        <w:numPr>
          <w:ilvl w:val="0"/>
          <w:numId w:val="2"/>
        </w:numPr>
        <w:spacing w:after="40" w:before="40"/>
      </w:pPr>
      <w:r>
        <w:rPr>
          <w:rFonts w:ascii="Arial" w:cs="Arial" w:eastAsia="Arial" w:hAnsi="Arial"/>
          <w:sz w:val="22"/>
          <w:szCs w:val="22"/>
        </w:rPr>
        <w:t xml:space="preserve">Revenue sources in sports and entertainment (8177 Task 86): ticket sales, merchandise, food and beverage, licensing, sponsorship, media rights, and parking are the major revenue streams for large organizations. The conglomerate's relevant streams are: merchandise sales (store), custom orders, event revenue, and eventually sponsorship.</w:t>
      </w:r>
    </w:p>
    <w:p>
      <w:pPr>
        <w:pStyle w:val="ListParagraph"/>
        <w:numPr>
          <w:ilvl w:val="0"/>
          <w:numId w:val="2"/>
        </w:numPr>
        <w:spacing w:after="40" w:before="40"/>
      </w:pPr>
      <w:r>
        <w:rPr>
          <w:rFonts w:ascii="Arial" w:cs="Arial" w:eastAsia="Arial" w:hAnsi="Arial"/>
          <w:sz w:val="22"/>
          <w:szCs w:val="22"/>
        </w:rPr>
        <w:t xml:space="preserve">Expenditures (8177 Task 87): fixed costs (equipment, software subscriptions, classroom overhead) vs. variable costs (blank garments, ink, transfer paper, shipping) affect break-even analysis. Students calculate the number of units the conglomerate must sell to cover its first order.</w:t>
      </w:r>
    </w:p>
    <w:p>
      <w:pPr>
        <w:pStyle w:val="ListParagraph"/>
        <w:numPr>
          <w:ilvl w:val="0"/>
          <w:numId w:val="2"/>
        </w:numPr>
        <w:spacing w:after="40" w:before="40"/>
      </w:pPr>
      <w:r>
        <w:rPr>
          <w:rFonts w:ascii="Arial" w:cs="Arial" w:eastAsia="Arial" w:hAnsi="Arial"/>
          <w:sz w:val="22"/>
          <w:szCs w:val="22"/>
        </w:rPr>
        <w:t xml:space="preserve">Financial statements (8177 Task 88): the income statement (revenue minus expenses = net income), the balance sheet (assets, liabilities, equity), and the cash flow statement are the three core documents. The conglomerate tracks a simplified income statement from the first sale forward.</w:t>
      </w:r>
    </w:p>
    <w:p>
      <w:pPr>
        <w:spacing w:after="0" w:before="120"/>
      </w:pPr>
      <w:r>
        <w:t xml:space="preserve"/>
      </w:r>
    </w:p>
    <w:p>
      <w:pPr>
        <w:pBdr>
          <w:bottom w:val="single" w:color="744210" w:sz="4" w:space="2"/>
        </w:pBdr>
        <w:spacing w:after="60" w:before="200"/>
      </w:pPr>
      <w:r>
        <w:rPr>
          <w:rFonts w:ascii="Arial" w:cs="Arial" w:eastAsia="Arial" w:hAnsi="Arial"/>
          <w:b/>
          <w:bCs/>
          <w:color w:val="744210"/>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School Store (primary) + Apparel &amp; Merch Co. + Wholesale &amp; Sourcing Manager</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Every SKU in the product catalog gets a pricing worksheet completed: COGS from the Wholesale Manager's purchase order, overhead allocation, strategy selection, final proposed price, and a one-sentence rationale. Store Manager compiles into the store's official price list. Production Manager reviews for feasibility — does the margin justify the production run?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Esports jerseys are the anchor product of the first pricing exercise. They have a known COGS (from the first purchase order), a known audience (from market research), and a known competitive context (mass-market vs. custom). League Manager also prices league entry fees and event tickets here — applying the same pricing framework to services, not just goods.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7 (Promotion) — price is a promotional message. 'Official school esports jersey — $26' is a different story than '$26 shirt.' Stage 8 (Synthesis) — the marketing plan includes a pricing section that references this unit's decisions directly.</w:t>
            </w:r>
          </w:p>
        </w:tc>
      </w:tr>
    </w:tbl>
    <w:p>
      <w:pPr>
        <w:spacing w:after="0" w:before="120"/>
      </w:pPr>
      <w:r>
        <w:t xml:space="preserve"/>
      </w:r>
    </w:p>
    <w:p>
      <w:pPr>
        <w:pBdr>
          <w:bottom w:val="single" w:color="744210" w:sz="4" w:space="2"/>
        </w:pBdr>
        <w:spacing w:after="60" w:before="200"/>
      </w:pPr>
      <w:r>
        <w:rPr>
          <w:rFonts w:ascii="Arial" w:cs="Arial" w:eastAsia="Arial" w:hAnsi="Arial"/>
          <w:b/>
          <w:bCs/>
          <w:color w:val="744210"/>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Financial modeling + operational pricing + budget development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Three deliverables: (1) Pricing worksheet — completed for every SKU in the product catalog, with strategy rationale. (2) Conglomerate budget v1.0 — income and expenditure projections for the semester, built by management students using the budget template below. (3) Break-even analysis — how many units of the first jersey run must sell to cover COGS and overhead?</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Sales &amp; Customer Experience rotation students complete the pricing worksheets for each SKU, drawing on market research price sensitivity data. Marketing Advisor rotation students review and challenge the pricing rationale — does each price reflect the positioning strategy from Stage 2? Promotions rotation students identify which pricing strategies create the most promotable story.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Store Manager drafts the official price list and submits to General Manager for approval. Production Manager contributes COGS data from the first production run. Wholesale Manager contributes sourcing costs. General Manager consolidates into the budget v1.0. All 8177 students complete the financial statement analysis task (Task 88) using a provided sample income statement from a comparable school store operation.</w:t>
            </w:r>
          </w:p>
        </w:tc>
      </w:tr>
    </w:tbl>
    <w:p>
      <w:pPr>
        <w:spacing w:after="0" w:before="120"/>
      </w:pPr>
      <w:r>
        <w:t xml:space="preserve"/>
      </w:r>
    </w:p>
    <w:p>
      <w:pPr>
        <w:pBdr>
          <w:bottom w:val="single" w:color="744210" w:sz="4" w:space="2"/>
        </w:pBdr>
        <w:spacing w:after="60" w:before="200"/>
      </w:pPr>
      <w:r>
        <w:rPr>
          <w:rFonts w:ascii="Arial" w:cs="Arial" w:eastAsia="Arial" w:hAnsi="Arial"/>
          <w:b/>
          <w:bCs/>
          <w:color w:val="744210"/>
          <w:sz w:val="20"/>
          <w:szCs w:val="20"/>
        </w:rPr>
        <w:t xml:space="preserve">PRICING WORKSHEET — IN-CLASS WORK PRODUCT</w:t>
      </w:r>
    </w:p>
    <w:p>
      <w:pPr>
        <w:spacing w:after="60" w:before="60"/>
        <w:jc w:val="left"/>
      </w:pPr>
      <w:r>
        <w:rPr>
          <w:rFonts w:ascii="Arial" w:cs="Arial" w:eastAsia="Arial" w:hAnsi="Arial"/>
          <w:b w:val="false"/>
          <w:bCs w:val="false"/>
          <w:i/>
          <w:iCs/>
          <w:color w:val="555555"/>
          <w:sz w:val="22"/>
          <w:szCs w:val="22"/>
        </w:rPr>
        <w:t xml:space="preserve">Complete one row per SKU from the Product Catalog v1.0. Use cost data from the Wholesale Manager's purchase order.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744210" w:val="clear"/>
            <w:tcMar>
              <w:top w:type="dxa" w:w="100"/>
              <w:left w:type="dxa" w:w="140"/>
              <w:bottom w:type="dxa" w:w="100"/>
              <w:right w:type="dxa" w:w="140"/>
            </w:tcMar>
          </w:tcPr>
          <w:p>
            <w:r>
              <w:rPr>
                <w:rFonts w:ascii="Arial" w:cs="Arial" w:eastAsia="Arial" w:hAnsi="Arial"/>
                <w:b/>
                <w:bCs/>
                <w:color w:val="FFFFFF"/>
                <w:sz w:val="18"/>
                <w:szCs w:val="18"/>
              </w:rPr>
              <w:t xml:space="preserve">SKU / Product</w:t>
            </w:r>
          </w:p>
        </w:tc>
        <w:tc>
          <w:tcPr>
            <w:tcW w:type="dxa" w:w="3480"/>
            <w:tcBorders>
              <w:top w:val="single" w:color="CCCCCC" w:sz="1"/>
              <w:left w:val="single" w:color="CCCCCC" w:sz="1"/>
              <w:bottom w:val="single" w:color="CCCCCC" w:sz="1"/>
              <w:right w:val="single" w:color="CCCCCC" w:sz="1"/>
            </w:tcBorders>
            <w:shd w:fill="744210" w:val="clear"/>
            <w:tcMar>
              <w:top w:type="dxa" w:w="100"/>
              <w:left w:type="dxa" w:w="140"/>
              <w:bottom w:type="dxa" w:w="100"/>
              <w:right w:type="dxa" w:w="140"/>
            </w:tcMar>
          </w:tcPr>
          <w:p>
            <w:r>
              <w:rPr>
                <w:rFonts w:ascii="Arial" w:cs="Arial" w:eastAsia="Arial" w:hAnsi="Arial"/>
                <w:b/>
                <w:bCs/>
                <w:color w:val="FFFFFF"/>
                <w:sz w:val="18"/>
                <w:szCs w:val="18"/>
              </w:rPr>
              <w:t xml:space="preserve">Cost Structure (COGS + overhead)</w:t>
            </w:r>
          </w:p>
        </w:tc>
        <w:tc>
          <w:tcPr>
            <w:tcW w:type="dxa" w:w="3480"/>
            <w:tcBorders>
              <w:top w:val="single" w:color="CCCCCC" w:sz="1"/>
              <w:left w:val="single" w:color="CCCCCC" w:sz="1"/>
              <w:bottom w:val="single" w:color="CCCCCC" w:sz="1"/>
              <w:right w:val="single" w:color="CCCCCC" w:sz="1"/>
            </w:tcBorders>
            <w:shd w:fill="744210" w:val="clear"/>
            <w:tcMar>
              <w:top w:type="dxa" w:w="100"/>
              <w:left w:type="dxa" w:w="140"/>
              <w:bottom w:type="dxa" w:w="100"/>
              <w:right w:type="dxa" w:w="140"/>
            </w:tcMar>
          </w:tcPr>
          <w:p>
            <w:r>
              <w:rPr>
                <w:rFonts w:ascii="Arial" w:cs="Arial" w:eastAsia="Arial" w:hAnsi="Arial"/>
                <w:b/>
                <w:bCs/>
                <w:color w:val="FFFFFF"/>
                <w:sz w:val="18"/>
                <w:szCs w:val="18"/>
              </w:rPr>
              <w:t xml:space="preserve">Proposed Price — Strategy Used</w:t>
            </w:r>
          </w:p>
        </w:tc>
      </w:tr>
      <w:tr>
        <w:tc>
          <w:tcPr>
            <w:tcW w:type="dxa" w:w="2400"/>
            <w:tcBorders>
              <w:top w:val="single" w:color="CCCCCC" w:sz="1"/>
              <w:left w:val="single" w:color="CCCCCC" w:sz="1"/>
              <w:bottom w:val="single" w:color="CCCCCC" w:sz="1"/>
              <w:right w:val="single" w:color="CCCCCC" w:sz="1"/>
            </w:tcBorders>
            <w:shd w:fill="F7FAFC" w:val="clear"/>
            <w:tcMar>
              <w:top w:type="dxa" w:w="280"/>
              <w:left w:type="dxa" w:w="140"/>
              <w:bottom w:type="dxa" w:w="280"/>
              <w:right w:type="dxa" w:w="140"/>
            </w:tcMar>
          </w:tcPr>
          <w:p>
            <w:r>
              <w:rPr>
                <w:rFonts w:ascii="Arial" w:cs="Arial" w:eastAsia="Arial" w:hAnsi="Arial"/>
                <w:sz w:val="20"/>
                <w:szCs w:val="20"/>
              </w:rPr>
              <w:t xml:space="preserve"/>
            </w:r>
          </w:p>
        </w:tc>
        <w:tc>
          <w:tcPr>
            <w:tcW w:type="dxa" w:w="3480"/>
            <w:tcBorders>
              <w:top w:val="single" w:color="CCCCCC" w:sz="1"/>
              <w:left w:val="single" w:color="CCCCCC" w:sz="1"/>
              <w:bottom w:val="single" w:color="CCCCCC" w:sz="1"/>
              <w:right w:val="single" w:color="CCCCCC" w:sz="1"/>
            </w:tcBorders>
            <w:shd w:fill="F7FAFC" w:val="clear"/>
            <w:tcMar>
              <w:top w:type="dxa" w:w="280"/>
              <w:left w:type="dxa" w:w="140"/>
              <w:bottom w:type="dxa" w:w="280"/>
              <w:right w:type="dxa" w:w="140"/>
            </w:tcMar>
          </w:tcPr>
          <w:p>
            <w:r>
              <w:rPr>
                <w:rFonts w:ascii="Arial" w:cs="Arial" w:eastAsia="Arial" w:hAnsi="Arial"/>
                <w:sz w:val="20"/>
                <w:szCs w:val="20"/>
              </w:rPr>
              <w:t xml:space="preserve"/>
            </w:r>
          </w:p>
        </w:tc>
        <w:tc>
          <w:tcPr>
            <w:tcW w:type="dxa" w:w="3480"/>
            <w:tcBorders>
              <w:top w:val="single" w:color="CCCCCC" w:sz="1"/>
              <w:left w:val="single" w:color="CCCCCC" w:sz="1"/>
              <w:bottom w:val="single" w:color="CCCCCC" w:sz="1"/>
              <w:right w:val="single" w:color="CCCCCC" w:sz="1"/>
            </w:tcBorders>
            <w:shd w:fill="F7FAFC" w:val="clear"/>
            <w:tcMar>
              <w:top w:type="dxa" w:w="280"/>
              <w:left w:type="dxa" w:w="140"/>
              <w:bottom w:type="dxa" w:w="280"/>
              <w:right w:type="dxa" w:w="14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280"/>
              <w:left w:type="dxa" w:w="140"/>
              <w:bottom w:type="dxa" w:w="280"/>
              <w:right w:type="dxa" w:w="140"/>
            </w:tcMar>
          </w:tcPr>
          <w:p>
            <w:r>
              <w:rPr>
                <w:rFonts w:ascii="Arial" w:cs="Arial" w:eastAsia="Arial" w:hAnsi="Arial"/>
                <w:sz w:val="20"/>
                <w:szCs w:val="20"/>
              </w:rPr>
              <w:t xml:space="preserve"/>
            </w:r>
          </w:p>
        </w:tc>
        <w:tc>
          <w:tcPr>
            <w:tcW w:type="dxa" w:w="3480"/>
            <w:tcBorders>
              <w:top w:val="single" w:color="CCCCCC" w:sz="1"/>
              <w:left w:val="single" w:color="CCCCCC" w:sz="1"/>
              <w:bottom w:val="single" w:color="CCCCCC" w:sz="1"/>
              <w:right w:val="single" w:color="CCCCCC" w:sz="1"/>
            </w:tcBorders>
            <w:shd w:fill="FFFFFF" w:val="clear"/>
            <w:tcMar>
              <w:top w:type="dxa" w:w="280"/>
              <w:left w:type="dxa" w:w="140"/>
              <w:bottom w:type="dxa" w:w="280"/>
              <w:right w:type="dxa" w:w="140"/>
            </w:tcMar>
          </w:tcPr>
          <w:p>
            <w:r>
              <w:rPr>
                <w:rFonts w:ascii="Arial" w:cs="Arial" w:eastAsia="Arial" w:hAnsi="Arial"/>
                <w:sz w:val="20"/>
                <w:szCs w:val="20"/>
              </w:rPr>
              <w:t xml:space="preserve"/>
            </w:r>
          </w:p>
        </w:tc>
        <w:tc>
          <w:tcPr>
            <w:tcW w:type="dxa" w:w="3480"/>
            <w:tcBorders>
              <w:top w:val="single" w:color="CCCCCC" w:sz="1"/>
              <w:left w:val="single" w:color="CCCCCC" w:sz="1"/>
              <w:bottom w:val="single" w:color="CCCCCC" w:sz="1"/>
              <w:right w:val="single" w:color="CCCCCC" w:sz="1"/>
            </w:tcBorders>
            <w:shd w:fill="FFFFFF" w:val="clear"/>
            <w:tcMar>
              <w:top w:type="dxa" w:w="280"/>
              <w:left w:type="dxa" w:w="140"/>
              <w:bottom w:type="dxa" w:w="280"/>
              <w:right w:type="dxa" w:w="14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7FAFC" w:val="clear"/>
            <w:tcMar>
              <w:top w:type="dxa" w:w="280"/>
              <w:left w:type="dxa" w:w="140"/>
              <w:bottom w:type="dxa" w:w="280"/>
              <w:right w:type="dxa" w:w="140"/>
            </w:tcMar>
          </w:tcPr>
          <w:p>
            <w:r>
              <w:rPr>
                <w:rFonts w:ascii="Arial" w:cs="Arial" w:eastAsia="Arial" w:hAnsi="Arial"/>
                <w:sz w:val="20"/>
                <w:szCs w:val="20"/>
              </w:rPr>
              <w:t xml:space="preserve"/>
            </w:r>
          </w:p>
        </w:tc>
        <w:tc>
          <w:tcPr>
            <w:tcW w:type="dxa" w:w="3480"/>
            <w:tcBorders>
              <w:top w:val="single" w:color="CCCCCC" w:sz="1"/>
              <w:left w:val="single" w:color="CCCCCC" w:sz="1"/>
              <w:bottom w:val="single" w:color="CCCCCC" w:sz="1"/>
              <w:right w:val="single" w:color="CCCCCC" w:sz="1"/>
            </w:tcBorders>
            <w:shd w:fill="F7FAFC" w:val="clear"/>
            <w:tcMar>
              <w:top w:type="dxa" w:w="280"/>
              <w:left w:type="dxa" w:w="140"/>
              <w:bottom w:type="dxa" w:w="280"/>
              <w:right w:type="dxa" w:w="140"/>
            </w:tcMar>
          </w:tcPr>
          <w:p>
            <w:r>
              <w:rPr>
                <w:rFonts w:ascii="Arial" w:cs="Arial" w:eastAsia="Arial" w:hAnsi="Arial"/>
                <w:sz w:val="20"/>
                <w:szCs w:val="20"/>
              </w:rPr>
              <w:t xml:space="preserve"/>
            </w:r>
          </w:p>
        </w:tc>
        <w:tc>
          <w:tcPr>
            <w:tcW w:type="dxa" w:w="3480"/>
            <w:tcBorders>
              <w:top w:val="single" w:color="CCCCCC" w:sz="1"/>
              <w:left w:val="single" w:color="CCCCCC" w:sz="1"/>
              <w:bottom w:val="single" w:color="CCCCCC" w:sz="1"/>
              <w:right w:val="single" w:color="CCCCCC" w:sz="1"/>
            </w:tcBorders>
            <w:shd w:fill="F7FAFC" w:val="clear"/>
            <w:tcMar>
              <w:top w:type="dxa" w:w="280"/>
              <w:left w:type="dxa" w:w="140"/>
              <w:bottom w:type="dxa" w:w="280"/>
              <w:right w:type="dxa" w:w="14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280"/>
              <w:left w:type="dxa" w:w="140"/>
              <w:bottom w:type="dxa" w:w="280"/>
              <w:right w:type="dxa" w:w="140"/>
            </w:tcMar>
          </w:tcPr>
          <w:p>
            <w:r>
              <w:rPr>
                <w:rFonts w:ascii="Arial" w:cs="Arial" w:eastAsia="Arial" w:hAnsi="Arial"/>
                <w:sz w:val="20"/>
                <w:szCs w:val="20"/>
              </w:rPr>
              <w:t xml:space="preserve"/>
            </w:r>
          </w:p>
        </w:tc>
        <w:tc>
          <w:tcPr>
            <w:tcW w:type="dxa" w:w="3480"/>
            <w:tcBorders>
              <w:top w:val="single" w:color="CCCCCC" w:sz="1"/>
              <w:left w:val="single" w:color="CCCCCC" w:sz="1"/>
              <w:bottom w:val="single" w:color="CCCCCC" w:sz="1"/>
              <w:right w:val="single" w:color="CCCCCC" w:sz="1"/>
            </w:tcBorders>
            <w:shd w:fill="FFFFFF" w:val="clear"/>
            <w:tcMar>
              <w:top w:type="dxa" w:w="280"/>
              <w:left w:type="dxa" w:w="140"/>
              <w:bottom w:type="dxa" w:w="280"/>
              <w:right w:type="dxa" w:w="140"/>
            </w:tcMar>
          </w:tcPr>
          <w:p>
            <w:r>
              <w:rPr>
                <w:rFonts w:ascii="Arial" w:cs="Arial" w:eastAsia="Arial" w:hAnsi="Arial"/>
                <w:sz w:val="20"/>
                <w:szCs w:val="20"/>
              </w:rPr>
              <w:t xml:space="preserve"/>
            </w:r>
          </w:p>
        </w:tc>
        <w:tc>
          <w:tcPr>
            <w:tcW w:type="dxa" w:w="3480"/>
            <w:tcBorders>
              <w:top w:val="single" w:color="CCCCCC" w:sz="1"/>
              <w:left w:val="single" w:color="CCCCCC" w:sz="1"/>
              <w:bottom w:val="single" w:color="CCCCCC" w:sz="1"/>
              <w:right w:val="single" w:color="CCCCCC" w:sz="1"/>
            </w:tcBorders>
            <w:shd w:fill="FFFFFF" w:val="clear"/>
            <w:tcMar>
              <w:top w:type="dxa" w:w="280"/>
              <w:left w:type="dxa" w:w="140"/>
              <w:bottom w:type="dxa" w:w="280"/>
              <w:right w:type="dxa" w:w="14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7FAFC" w:val="clear"/>
            <w:tcMar>
              <w:top w:type="dxa" w:w="280"/>
              <w:left w:type="dxa" w:w="140"/>
              <w:bottom w:type="dxa" w:w="280"/>
              <w:right w:type="dxa" w:w="140"/>
            </w:tcMar>
          </w:tcPr>
          <w:p>
            <w:r>
              <w:rPr>
                <w:rFonts w:ascii="Arial" w:cs="Arial" w:eastAsia="Arial" w:hAnsi="Arial"/>
                <w:sz w:val="20"/>
                <w:szCs w:val="20"/>
              </w:rPr>
              <w:t xml:space="preserve"/>
            </w:r>
          </w:p>
        </w:tc>
        <w:tc>
          <w:tcPr>
            <w:tcW w:type="dxa" w:w="3480"/>
            <w:tcBorders>
              <w:top w:val="single" w:color="CCCCCC" w:sz="1"/>
              <w:left w:val="single" w:color="CCCCCC" w:sz="1"/>
              <w:bottom w:val="single" w:color="CCCCCC" w:sz="1"/>
              <w:right w:val="single" w:color="CCCCCC" w:sz="1"/>
            </w:tcBorders>
            <w:shd w:fill="F7FAFC" w:val="clear"/>
            <w:tcMar>
              <w:top w:type="dxa" w:w="280"/>
              <w:left w:type="dxa" w:w="140"/>
              <w:bottom w:type="dxa" w:w="280"/>
              <w:right w:type="dxa" w:w="140"/>
            </w:tcMar>
          </w:tcPr>
          <w:p>
            <w:r>
              <w:rPr>
                <w:rFonts w:ascii="Arial" w:cs="Arial" w:eastAsia="Arial" w:hAnsi="Arial"/>
                <w:sz w:val="20"/>
                <w:szCs w:val="20"/>
              </w:rPr>
              <w:t xml:space="preserve"/>
            </w:r>
          </w:p>
        </w:tc>
        <w:tc>
          <w:tcPr>
            <w:tcW w:type="dxa" w:w="3480"/>
            <w:tcBorders>
              <w:top w:val="single" w:color="CCCCCC" w:sz="1"/>
              <w:left w:val="single" w:color="CCCCCC" w:sz="1"/>
              <w:bottom w:val="single" w:color="CCCCCC" w:sz="1"/>
              <w:right w:val="single" w:color="CCCCCC" w:sz="1"/>
            </w:tcBorders>
            <w:shd w:fill="F7FAFC" w:val="clear"/>
            <w:tcMar>
              <w:top w:type="dxa" w:w="280"/>
              <w:left w:type="dxa" w:w="140"/>
              <w:bottom w:type="dxa" w:w="280"/>
              <w:right w:type="dxa" w:w="140"/>
            </w:tcMar>
          </w:tcPr>
          <w:p>
            <w:r>
              <w:rPr>
                <w:rFonts w:ascii="Arial" w:cs="Arial" w:eastAsia="Arial" w:hAnsi="Arial"/>
                <w:sz w:val="20"/>
                <w:szCs w:val="20"/>
              </w:rPr>
              <w:t xml:space="preserve"/>
            </w:r>
          </w:p>
        </w:tc>
      </w:tr>
    </w:tbl>
    <w:p>
      <w:pPr>
        <w:spacing w:after="0" w:before="120"/>
      </w:pPr>
      <w:r>
        <w:t xml:space="preserve"/>
      </w:r>
    </w:p>
    <w:p>
      <w:pPr>
        <w:pBdr>
          <w:bottom w:val="single" w:color="744210" w:sz="4" w:space="2"/>
        </w:pBdr>
        <w:spacing w:after="60" w:before="200"/>
      </w:pPr>
      <w:r>
        <w:rPr>
          <w:rFonts w:ascii="Arial" w:cs="Arial" w:eastAsia="Arial" w:hAnsi="Arial"/>
          <w:b/>
          <w:bCs/>
          <w:color w:val="744210"/>
          <w:sz w:val="20"/>
          <w:szCs w:val="20"/>
        </w:rPr>
        <w:t xml:space="preserve">CONGLOMERATE BUDGET TEMPLATE — 8177 MANAGEMENT</w:t>
      </w:r>
    </w:p>
    <w:p>
      <w:pPr>
        <w:spacing w:after="60" w:before="60"/>
        <w:jc w:val="left"/>
      </w:pPr>
      <w:r>
        <w:rPr>
          <w:rFonts w:ascii="Arial" w:cs="Arial" w:eastAsia="Arial" w:hAnsi="Arial"/>
          <w:b w:val="false"/>
          <w:bCs w:val="false"/>
          <w:i/>
          <w:iCs/>
          <w:color w:val="555555"/>
          <w:sz w:val="22"/>
          <w:szCs w:val="22"/>
        </w:rPr>
        <w:t xml:space="preserve">Build the semester budget using actual cost data from the Wholesale Manager's first purchase order and projected revenue from pricing decisions above.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744210" w:val="clear"/>
            <w:tcMar>
              <w:top w:type="dxa" w:w="100"/>
              <w:left w:type="dxa" w:w="140"/>
              <w:bottom w:type="dxa" w:w="100"/>
              <w:right w:type="dxa" w:w="140"/>
            </w:tcMar>
          </w:tcPr>
          <w:p>
            <w:r>
              <w:rPr>
                <w:rFonts w:ascii="Arial" w:cs="Arial" w:eastAsia="Arial" w:hAnsi="Arial"/>
                <w:b/>
                <w:bCs/>
                <w:color w:val="FFFFFF"/>
                <w:sz w:val="18"/>
                <w:szCs w:val="18"/>
              </w:rPr>
              <w:t xml:space="preserve">Line item</w:t>
            </w:r>
          </w:p>
        </w:tc>
        <w:tc>
          <w:tcPr>
            <w:tcW w:type="dxa" w:w="2880"/>
            <w:tcBorders>
              <w:top w:val="single" w:color="CCCCCC" w:sz="1"/>
              <w:left w:val="single" w:color="CCCCCC" w:sz="1"/>
              <w:bottom w:val="single" w:color="CCCCCC" w:sz="1"/>
              <w:right w:val="single" w:color="CCCCCC" w:sz="1"/>
            </w:tcBorders>
            <w:shd w:fill="744210" w:val="clear"/>
            <w:tcMar>
              <w:top w:type="dxa" w:w="100"/>
              <w:left w:type="dxa" w:w="140"/>
              <w:bottom w:type="dxa" w:w="100"/>
              <w:right w:type="dxa" w:w="140"/>
            </w:tcMar>
          </w:tcPr>
          <w:p>
            <w:r>
              <w:rPr>
                <w:rFonts w:ascii="Arial" w:cs="Arial" w:eastAsia="Arial" w:hAnsi="Arial"/>
                <w:b/>
                <w:bCs/>
                <w:color w:val="FFFFFF"/>
                <w:sz w:val="18"/>
                <w:szCs w:val="18"/>
              </w:rPr>
              <w:t xml:space="preserve">Projected</w:t>
            </w:r>
          </w:p>
        </w:tc>
        <w:tc>
          <w:tcPr>
            <w:tcW w:type="dxa" w:w="2880"/>
            <w:tcBorders>
              <w:top w:val="single" w:color="CCCCCC" w:sz="1"/>
              <w:left w:val="single" w:color="CCCCCC" w:sz="1"/>
              <w:bottom w:val="single" w:color="CCCCCC" w:sz="1"/>
              <w:right w:val="single" w:color="CCCCCC" w:sz="1"/>
            </w:tcBorders>
            <w:shd w:fill="744210" w:val="clear"/>
            <w:tcMar>
              <w:top w:type="dxa" w:w="100"/>
              <w:left w:type="dxa" w:w="140"/>
              <w:bottom w:type="dxa" w:w="100"/>
              <w:right w:type="dxa" w:w="140"/>
            </w:tcMar>
          </w:tcPr>
          <w:p>
            <w:r>
              <w:rPr>
                <w:rFonts w:ascii="Arial" w:cs="Arial" w:eastAsia="Arial" w:hAnsi="Arial"/>
                <w:b/>
                <w:bCs/>
                <w:color w:val="FFFFFF"/>
                <w:sz w:val="18"/>
                <w:szCs w:val="18"/>
              </w:rPr>
              <w:t xml:space="preserve">Actual</w:t>
            </w:r>
          </w:p>
        </w:tc>
      </w:tr>
      <w:tr>
        <w:tc>
          <w:tcPr>
            <w:tcW w:type="dxa" w:w="360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b/>
                <w:bCs/>
                <w:sz w:val="19"/>
                <w:szCs w:val="19"/>
              </w:rPr>
              <w:t xml:space="preserve">REVENUE</w:t>
            </w:r>
          </w:p>
        </w:tc>
        <w:tc>
          <w:tcPr>
            <w:tcW w:type="dxa" w:w="288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color w:val="AAAAAA"/>
                <w:sz w:val="19"/>
                <w:szCs w:val="19"/>
              </w:rPr>
              <w:t xml:space="preserve"/>
            </w:r>
          </w:p>
        </w:tc>
        <w:tc>
          <w:tcPr>
            <w:tcW w:type="dxa" w:w="288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color w:val="AAAAAA"/>
                <w:sz w:val="19"/>
                <w:szCs w:val="19"/>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School store merchandise sales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AAAAAA"/>
                <w:sz w:val="19"/>
                <w:szCs w:val="19"/>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AAAAAA"/>
                <w:sz w:val="19"/>
                <w:szCs w:val="19"/>
              </w:rPr>
              <w:t xml:space="preserve">$</w:t>
            </w:r>
          </w:p>
        </w:tc>
      </w:tr>
      <w:tr>
        <w:tc>
          <w:tcPr>
            <w:tcW w:type="dxa" w:w="3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b w:val="false"/>
                <w:bCs w:val="false"/>
                <w:sz w:val="19"/>
                <w:szCs w:val="19"/>
              </w:rPr>
              <w:t xml:space="preserve">Event ticket / entry revenue</w:t>
            </w:r>
          </w:p>
        </w:tc>
        <w:tc>
          <w:tcPr>
            <w:tcW w:type="dxa" w:w="28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AAAAAA"/>
                <w:sz w:val="19"/>
                <w:szCs w:val="19"/>
              </w:rPr>
              <w:t xml:space="preserve">$</w:t>
            </w:r>
          </w:p>
        </w:tc>
        <w:tc>
          <w:tcPr>
            <w:tcW w:type="dxa" w:w="28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AAAAAA"/>
                <w:sz w:val="19"/>
                <w:szCs w:val="19"/>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Custom order revenue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AAAAAA"/>
                <w:sz w:val="19"/>
                <w:szCs w:val="19"/>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AAAAAA"/>
                <w:sz w:val="19"/>
                <w:szCs w:val="19"/>
              </w:rPr>
              <w:t xml:space="preserve">$</w:t>
            </w:r>
          </w:p>
        </w:tc>
      </w:tr>
      <w:tr>
        <w:tc>
          <w:tcPr>
            <w:tcW w:type="dxa" w:w="3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b w:val="false"/>
                <w:bCs w:val="false"/>
                <w:sz w:val="19"/>
                <w:szCs w:val="19"/>
              </w:rPr>
              <w:t xml:space="preserve">Sponsorship revenue</w:t>
            </w:r>
          </w:p>
        </w:tc>
        <w:tc>
          <w:tcPr>
            <w:tcW w:type="dxa" w:w="28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AAAAAA"/>
                <w:sz w:val="19"/>
                <w:szCs w:val="19"/>
              </w:rPr>
              <w:t xml:space="preserve">$</w:t>
            </w:r>
          </w:p>
        </w:tc>
        <w:tc>
          <w:tcPr>
            <w:tcW w:type="dxa" w:w="28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AAAAAA"/>
                <w:sz w:val="19"/>
                <w:szCs w:val="19"/>
              </w:rPr>
              <w:t xml:space="preserve">$</w:t>
            </w:r>
          </w:p>
        </w:tc>
      </w:tr>
      <w:tr>
        <w:tc>
          <w:tcPr>
            <w:tcW w:type="dxa" w:w="360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b/>
                <w:bCs/>
                <w:sz w:val="19"/>
                <w:szCs w:val="19"/>
              </w:rPr>
              <w:t xml:space="preserve">TOTAL REVENUE</w:t>
            </w:r>
          </w:p>
        </w:tc>
        <w:tc>
          <w:tcPr>
            <w:tcW w:type="dxa" w:w="288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color w:val="AAAAAA"/>
                <w:sz w:val="19"/>
                <w:szCs w:val="19"/>
              </w:rPr>
              <w:t xml:space="preserve"/>
            </w:r>
          </w:p>
        </w:tc>
        <w:tc>
          <w:tcPr>
            <w:tcW w:type="dxa" w:w="288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color w:val="AAAAAA"/>
                <w:sz w:val="19"/>
                <w:szCs w:val="19"/>
              </w:rPr>
              <w:t xml:space="preserve"/>
            </w:r>
          </w:p>
        </w:tc>
      </w:tr>
      <w:tr>
        <w:tc>
          <w:tcPr>
            <w:tcW w:type="dxa" w:w="360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b/>
                <w:bCs/>
                <w:sz w:val="19"/>
                <w:szCs w:val="19"/>
              </w:rPr>
              <w:t xml:space="preserve">EXPENDITURES</w:t>
            </w:r>
          </w:p>
        </w:tc>
        <w:tc>
          <w:tcPr>
            <w:tcW w:type="dxa" w:w="288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color w:val="AAAAAA"/>
                <w:sz w:val="19"/>
                <w:szCs w:val="19"/>
              </w:rPr>
              <w:t xml:space="preserve"/>
            </w:r>
          </w:p>
        </w:tc>
        <w:tc>
          <w:tcPr>
            <w:tcW w:type="dxa" w:w="288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color w:val="AAAAAA"/>
                <w:sz w:val="19"/>
                <w:szCs w:val="19"/>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Blank garment cost (COGS)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AAAAAA"/>
                <w:sz w:val="19"/>
                <w:szCs w:val="19"/>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AAAAAA"/>
                <w:sz w:val="19"/>
                <w:szCs w:val="19"/>
              </w:rPr>
              <w:t xml:space="preserve">$</w:t>
            </w:r>
          </w:p>
        </w:tc>
      </w:tr>
      <w:tr>
        <w:tc>
          <w:tcPr>
            <w:tcW w:type="dxa" w:w="3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b w:val="false"/>
                <w:bCs w:val="false"/>
                <w:sz w:val="19"/>
                <w:szCs w:val="19"/>
              </w:rPr>
              <w:t xml:space="preserve">Sublimation ink and transfer paper</w:t>
            </w:r>
          </w:p>
        </w:tc>
        <w:tc>
          <w:tcPr>
            <w:tcW w:type="dxa" w:w="28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AAAAAA"/>
                <w:sz w:val="19"/>
                <w:szCs w:val="19"/>
              </w:rPr>
              <w:t xml:space="preserve">$</w:t>
            </w:r>
          </w:p>
        </w:tc>
        <w:tc>
          <w:tcPr>
            <w:tcW w:type="dxa" w:w="28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AAAAAA"/>
                <w:sz w:val="19"/>
                <w:szCs w:val="19"/>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19"/>
                <w:szCs w:val="19"/>
              </w:rPr>
              <w:t xml:space="preserve">Shipping and sourcing fees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AAAAAA"/>
                <w:sz w:val="19"/>
                <w:szCs w:val="19"/>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AAAAAA"/>
                <w:sz w:val="19"/>
                <w:szCs w:val="19"/>
              </w:rPr>
              <w:t xml:space="preserve">$</w:t>
            </w:r>
          </w:p>
        </w:tc>
      </w:tr>
      <w:tr>
        <w:tc>
          <w:tcPr>
            <w:tcW w:type="dxa" w:w="3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b w:val="false"/>
                <w:bCs w:val="false"/>
                <w:sz w:val="19"/>
                <w:szCs w:val="19"/>
              </w:rPr>
              <w:t xml:space="preserve">Event operational costs</w:t>
            </w:r>
          </w:p>
        </w:tc>
        <w:tc>
          <w:tcPr>
            <w:tcW w:type="dxa" w:w="28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AAAAAA"/>
                <w:sz w:val="19"/>
                <w:szCs w:val="19"/>
              </w:rPr>
              <w:t xml:space="preserve">$</w:t>
            </w:r>
          </w:p>
        </w:tc>
        <w:tc>
          <w:tcPr>
            <w:tcW w:type="dxa" w:w="28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AAAAAA"/>
                <w:sz w:val="19"/>
                <w:szCs w:val="19"/>
              </w:rPr>
              <w:t xml:space="preserve">$</w:t>
            </w:r>
          </w:p>
        </w:tc>
      </w:tr>
      <w:tr>
        <w:tc>
          <w:tcPr>
            <w:tcW w:type="dxa" w:w="360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b/>
                <w:bCs/>
                <w:sz w:val="19"/>
                <w:szCs w:val="19"/>
              </w:rPr>
              <w:t xml:space="preserve">TOTAL EXPENDITURES</w:t>
            </w:r>
          </w:p>
        </w:tc>
        <w:tc>
          <w:tcPr>
            <w:tcW w:type="dxa" w:w="288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color w:val="AAAAAA"/>
                <w:sz w:val="19"/>
                <w:szCs w:val="19"/>
              </w:rPr>
              <w:t xml:space="preserve"/>
            </w:r>
          </w:p>
        </w:tc>
        <w:tc>
          <w:tcPr>
            <w:tcW w:type="dxa" w:w="288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color w:val="AAAAAA"/>
                <w:sz w:val="19"/>
                <w:szCs w:val="19"/>
              </w:rPr>
              <w:t xml:space="preserve"/>
            </w:r>
          </w:p>
        </w:tc>
      </w:tr>
      <w:tr>
        <w:tc>
          <w:tcPr>
            <w:tcW w:type="dxa" w:w="360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b/>
                <w:bCs/>
                <w:sz w:val="19"/>
                <w:szCs w:val="19"/>
              </w:rPr>
              <w:t xml:space="preserve">NET (Revenue − Expenditures)</w:t>
            </w:r>
          </w:p>
        </w:tc>
        <w:tc>
          <w:tcPr>
            <w:tcW w:type="dxa" w:w="288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color w:val="AAAAAA"/>
                <w:sz w:val="19"/>
                <w:szCs w:val="19"/>
              </w:rPr>
              <w:t xml:space="preserve"/>
            </w:r>
          </w:p>
        </w:tc>
        <w:tc>
          <w:tcPr>
            <w:tcW w:type="dxa" w:w="2880"/>
            <w:tcBorders>
              <w:top w:val="single" w:color="CCCCCC" w:sz="1"/>
              <w:left w:val="single" w:color="CCCCCC" w:sz="1"/>
              <w:bottom w:val="single" w:color="CCCCCC" w:sz="1"/>
              <w:right w:val="single" w:color="CCCCCC" w:sz="1"/>
            </w:tcBorders>
            <w:shd w:fill="E2E8F0" w:val="clear"/>
            <w:tcMar>
              <w:top w:type="dxa" w:w="100"/>
              <w:left w:type="dxa" w:w="140"/>
              <w:bottom w:type="dxa" w:w="100"/>
              <w:right w:type="dxa" w:w="140"/>
            </w:tcMar>
          </w:tcPr>
          <w:p>
            <w:r>
              <w:rPr>
                <w:rFonts w:ascii="Arial" w:cs="Arial" w:eastAsia="Arial" w:hAnsi="Arial"/>
                <w:color w:val="AAAAAA"/>
                <w:sz w:val="19"/>
                <w:szCs w:val="19"/>
              </w:rPr>
              <w:t xml:space="preserve"/>
            </w:r>
          </w:p>
        </w:tc>
      </w:tr>
    </w:tbl>
    <w:p>
      <w:pPr>
        <w:spacing w:after="0" w:before="120"/>
      </w:pPr>
      <w:r>
        <w:t xml:space="preserve"/>
      </w:r>
    </w:p>
    <w:p>
      <w:pPr>
        <w:pBdr>
          <w:bottom w:val="single" w:color="744210" w:sz="4" w:space="2"/>
        </w:pBdr>
        <w:spacing w:after="60" w:before="200"/>
      </w:pPr>
      <w:r>
        <w:rPr>
          <w:rFonts w:ascii="Arial" w:cs="Arial" w:eastAsia="Arial" w:hAnsi="Arial"/>
          <w:b/>
          <w:bCs/>
          <w:color w:val="744210"/>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Computers — pricing spreadsheet development (Google Sheets), budget modeling, financial statement analysis, break-even calculation</w:t>
      </w:r>
    </w:p>
    <w:p>
      <w:pPr>
        <w:pStyle w:val="ListParagraph"/>
        <w:numPr>
          <w:ilvl w:val="0"/>
          <w:numId w:val="2"/>
        </w:numPr>
        <w:spacing w:after="40" w:before="40"/>
      </w:pPr>
      <w:r>
        <w:rPr>
          <w:rFonts w:ascii="Arial" w:cs="Arial" w:eastAsia="Arial" w:hAnsi="Arial"/>
          <w:sz w:val="22"/>
          <w:szCs w:val="22"/>
        </w:rPr>
        <w:t xml:space="preserve">No production equipment in active use — this is a financial modeling and documentation unit</w:t>
      </w:r>
    </w:p>
    <w:p>
      <w:pPr>
        <w:pStyle w:val="ListParagraph"/>
        <w:numPr>
          <w:ilvl w:val="0"/>
          <w:numId w:val="2"/>
        </w:numPr>
        <w:spacing w:after="40" w:before="40"/>
      </w:pPr>
      <w:r>
        <w:rPr>
          <w:rFonts w:ascii="Arial" w:cs="Arial" w:eastAsia="Arial" w:hAnsi="Arial"/>
          <w:sz w:val="22"/>
          <w:szCs w:val="22"/>
        </w:rPr>
        <w:t xml:space="preserve">Large format printer — optional: print the completed price list at poster scale for School Store display</w:t>
      </w:r>
    </w:p>
    <w:p>
      <w:pPr>
        <w:spacing w:after="0" w:before="120"/>
      </w:pPr>
      <w:r>
        <w:t xml:space="preserve"/>
      </w:r>
    </w:p>
    <w:p>
      <w:pPr>
        <w:pBdr>
          <w:bottom w:val="single" w:color="744210" w:sz="4" w:space="2"/>
        </w:pBdr>
        <w:spacing w:after="60" w:before="200"/>
      </w:pPr>
      <w:r>
        <w:rPr>
          <w:rFonts w:ascii="Arial" w:cs="Arial" w:eastAsia="Arial" w:hAnsi="Arial"/>
          <w:b/>
          <w:bCs/>
          <w:color w:val="744210"/>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Pricing strategy comparison (Task 67): students evaluate three different pricing strategies for the same SKU and present the tradeoffs — which strategy maximizes short-term revenue, which builds long-term market share, which best supports the brand positioning from Stage 2?</w:t>
      </w:r>
    </w:p>
    <w:p>
      <w:pPr>
        <w:pStyle w:val="ListParagraph"/>
        <w:numPr>
          <w:ilvl w:val="0"/>
          <w:numId w:val="2"/>
        </w:numPr>
        <w:spacing w:after="40" w:before="40"/>
      </w:pPr>
      <w:r>
        <w:rPr>
          <w:rFonts w:ascii="Arial" w:cs="Arial" w:eastAsia="Arial" w:hAnsi="Arial"/>
          <w:sz w:val="22"/>
          <w:szCs w:val="22"/>
        </w:rPr>
        <w:t xml:space="preserve">Psychological pricing application: students redesign the store's price list using psychological pricing principles and calculate the projected revenue difference on a 50-unit run.</w:t>
      </w:r>
    </w:p>
    <w:p>
      <w:pPr>
        <w:pStyle w:val="ListParagraph"/>
        <w:numPr>
          <w:ilvl w:val="0"/>
          <w:numId w:val="2"/>
        </w:numPr>
        <w:spacing w:after="40" w:before="40"/>
      </w:pPr>
      <w:r>
        <w:rPr>
          <w:rFonts w:ascii="Arial" w:cs="Arial" w:eastAsia="Arial" w:hAnsi="Arial"/>
          <w:sz w:val="22"/>
          <w:szCs w:val="22"/>
        </w:rPr>
        <w:t xml:space="preserve">Event pricing: how does pricing an esports match ticket differ from pricing a jersey? Students apply the pricing framework to a service (event attendance) and identify which factors change.</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Budget components in depth (Task 85): students identify every line item in the conglomerate's operating budget — not just production costs, but time costs, equipment depreciation, and overhead allocation. What does it actually cost to run this program for one semester?</w:t>
      </w:r>
    </w:p>
    <w:p>
      <w:pPr>
        <w:pStyle w:val="ListParagraph"/>
        <w:numPr>
          <w:ilvl w:val="0"/>
          <w:numId w:val="2"/>
        </w:numPr>
        <w:spacing w:after="40" w:before="40"/>
      </w:pPr>
      <w:r>
        <w:rPr>
          <w:rFonts w:ascii="Arial" w:cs="Arial" w:eastAsia="Arial" w:hAnsi="Arial"/>
          <w:sz w:val="22"/>
          <w:szCs w:val="22"/>
        </w:rPr>
        <w:t xml:space="preserve">Revenue source diversification (Task 86): students map all potential revenue streams for the conglomerate and rate each by feasibility and timeline. Which revenue sources can be activated immediately (store sales)? Which require more development (sponsorship)?</w:t>
      </w:r>
    </w:p>
    <w:p>
      <w:pPr>
        <w:pStyle w:val="ListParagraph"/>
        <w:numPr>
          <w:ilvl w:val="0"/>
          <w:numId w:val="2"/>
        </w:numPr>
        <w:spacing w:after="40" w:before="40"/>
      </w:pPr>
      <w:r>
        <w:rPr>
          <w:rFonts w:ascii="Arial" w:cs="Arial" w:eastAsia="Arial" w:hAnsi="Arial"/>
          <w:sz w:val="22"/>
          <w:szCs w:val="22"/>
        </w:rPr>
        <w:t xml:space="preserve">Expenditure management (Task 87): students distinguish fixed costs (equipment, subscriptions) from variable costs (materials per unit) and calculate the conglomerate's break-even point at different production volumes.</w:t>
      </w:r>
    </w:p>
    <w:p>
      <w:pPr>
        <w:pStyle w:val="ListParagraph"/>
        <w:numPr>
          <w:ilvl w:val="0"/>
          <w:numId w:val="2"/>
        </w:numPr>
        <w:spacing w:after="40" w:before="40"/>
      </w:pPr>
      <w:r>
        <w:rPr>
          <w:rFonts w:ascii="Arial" w:cs="Arial" w:eastAsia="Arial" w:hAnsi="Arial"/>
          <w:sz w:val="22"/>
          <w:szCs w:val="22"/>
        </w:rPr>
        <w:t xml:space="preserve">Financial statement analysis (Task 88): students analyze a provided sample income statement from a comparable school merchandise operation, identify key ratios (gross margin, operating margin), and benchmark against the conglomerate's projected figures.</w:t>
      </w:r>
    </w:p>
    <w:p>
      <w:pPr>
        <w:spacing w:after="0" w:before="120"/>
      </w:pPr>
      <w:r>
        <w:t xml:space="preserve"/>
      </w:r>
    </w:p>
    <w:p>
      <w:pPr>
        <w:pBdr>
          <w:bottom w:val="single" w:color="744210" w:sz="4" w:space="2"/>
        </w:pBdr>
        <w:spacing w:after="60" w:before="200"/>
      </w:pPr>
      <w:r>
        <w:rPr>
          <w:rFonts w:ascii="Arial" w:cs="Arial" w:eastAsia="Arial" w:hAnsi="Arial"/>
          <w:b/>
          <w:bCs/>
          <w:color w:val="744210"/>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Cost of goods sold (COGS)</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direct costs of producing the items sold — blank garments, ink, transfer paper, and direct labor. Does not include overhead or operating expenses.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Gross margin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Revenue minus COGS, expressed as a percentage of revenue — the portion of each sale available to cover overhead and generate profit</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Cost-plus pricing</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pricing method that adds a fixed markup to the cost of production — straightforward but ignores market conditions and perceived value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Value-based pricing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Setting price based on the customer's perceived value of the product, not the cost to produce it — the school brand and esports identity add perceived value above production cost</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Break-even point</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sales volume at which total revenue equals total costs — no profit, no loss. Below this point the conglomerate is losing money on each production run.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Fixed cost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Costs that do not change with production volume — equipment, software, and classroom overhead are fixed regardless of how many jerseys are printed</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Variable cost</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Costs that change with production volume — blank garments, ink, and shipping are variable: more units means more cost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Revenue stream</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distinct source of income — merchandise sales, custom orders, event tickets, and sponsorship are four separate revenue streams in the conglomerate</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Income statement</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financial document showing revenue, expenses, and net income over a period — the conglomerate's primary financial tracking document</w:t>
            </w:r>
          </w:p>
        </w:tc>
      </w:tr>
    </w:tbl>
    <w:p>
      <w:pPr>
        <w:spacing w:after="0" w:before="120"/>
      </w:pPr>
      <w:r>
        <w:t xml:space="preserve"/>
      </w:r>
    </w:p>
    <w:p>
      <w:pPr>
        <w:pBdr>
          <w:bottom w:val="single" w:color="744210" w:sz="4" w:space="2"/>
        </w:pBdr>
        <w:spacing w:after="60" w:before="200"/>
      </w:pPr>
      <w:r>
        <w:rPr>
          <w:rFonts w:ascii="Arial" w:cs="Arial" w:eastAsia="Arial" w:hAnsi="Arial"/>
          <w:b/>
          <w:bCs/>
          <w:color w:val="744210"/>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600"/>
        <w:gridCol w:w="6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Task</w:t>
            </w:r>
          </w:p>
        </w:tc>
        <w:tc>
          <w:tcPr>
            <w:tcW w:type="dxa" w:w="59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Competency</w:t>
            </w:r>
          </w:p>
        </w:tc>
        <w:tc>
          <w:tcPr>
            <w:tcW w:type="dxa" w:w="1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Course</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66</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pricing and the factors that affect pricing decisions.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67</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Identify pricing strategies as they relate to the sports, entertainment, and event industries.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85</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the components of a budget.</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86</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Identify revenue sources related to the sports, entertainment, and event industries.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87</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expenditures related to the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88</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Analyze financial statements.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2026-06-13T23:44:55.380Z</dcterms:created>
  <dcterms:modified xsi:type="dcterms:W3CDTF">2026-06-13T23:44:55.394Z</dcterms:modified>
</cp:coreProperties>
</file>

<file path=docProps/custom.xml><?xml version="1.0" encoding="utf-8"?>
<Properties xmlns="http://schemas.openxmlformats.org/officeDocument/2006/custom-properties" xmlns:vt="http://schemas.openxmlformats.org/officeDocument/2006/docPropsVTypes"/>
</file>