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3557" w:val="clear"/>
            <w:tcMar>
              <w:top w:type="dxa" w:w="120"/>
              <w:left w:type="dxa" w:w="160"/>
              <w:bottom w:type="dxa" w:w="120"/>
              <w:right w:type="dxa" w:w="160"/>
            </w:tcMar>
          </w:tcPr>
          <w:p>
            <w:r>
              <w:rPr>
                <w:rFonts w:ascii="Arial" w:cs="Arial" w:eastAsia="Arial" w:hAnsi="Arial"/>
                <w:b/>
                <w:bCs/>
                <w:color w:val="FFFFFF"/>
                <w:sz w:val="24"/>
                <w:szCs w:val="24"/>
              </w:rPr>
              <w:t xml:space="preserve">SPORTS, ENTERTAINMENT &amp; EVENT MARKETING / MANAGEMENT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41E" w:val="clear"/>
            <w:tcMar>
              <w:top w:type="dxa" w:w="120"/>
              <w:left w:type="dxa" w:w="160"/>
              <w:bottom w:type="dxa" w:w="120"/>
              <w:right w:type="dxa" w:w="160"/>
            </w:tcMar>
          </w:tcPr>
          <w:p>
            <w:r>
              <w:rPr>
                <w:rFonts w:ascii="Arial" w:cs="Arial" w:eastAsia="Arial" w:hAnsi="Arial"/>
                <w:b/>
                <w:bCs/>
                <w:color w:val="FFFFFF"/>
                <w:sz w:val="24"/>
                <w:szCs w:val="24"/>
              </w:rPr>
              <w:t xml:space="preserve">LESSON CARDS — STAGE 7: PROMOTION</w:t>
            </w:r>
          </w:p>
        </w:tc>
      </w:tr>
    </w:tbl>
    <w:p>
      <w:pPr>
        <w:spacing w:after="0" w:before="120"/>
      </w:pPr>
      <w:r>
        <w:t xml:space="preserve"/>
      </w:r>
    </w:p>
    <w:p>
      <w:pPr>
        <w:spacing w:after="60" w:before="60"/>
        <w:jc w:val="left"/>
      </w:pPr>
      <w:r>
        <w:rPr>
          <w:rFonts w:ascii="Arial" w:cs="Arial" w:eastAsia="Arial" w:hAnsi="Arial"/>
          <w:b w:val="false"/>
          <w:bCs w:val="false"/>
          <w:i/>
          <w:iCs/>
          <w:color w:val="555555"/>
          <w:sz w:val="24"/>
          <w:szCs w:val="24"/>
        </w:rPr>
        <w:t xml:space="preserve">How does the conglomerate pull its audience toward the product and the event?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Distribution 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Promotion — the full promotional mix applied to a live campaign with a real deadline and measurable results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Courses covered</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8175 Sports, Entertainment &amp; Event Marketing  |  8177 Sports, Entertainment &amp; Event Management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Lesson units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 units: Promotion, Sponsorship &amp; Endorsements · Sales Process &amp; On-Site Merchandising</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Prerequisite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Stage 6 complete — digital infrastructure operational, safety plan submitted, first home match cleared to proceed</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Conglomerate milestone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By end of Stage 7: first home esports match promoted, executed, and post-event reported. Campaign results documented. Revenue reconciled. Second match planning begins with data from the first.</w:t>
            </w:r>
          </w:p>
        </w:tc>
      </w:tr>
    </w:tbl>
    <w:p>
      <w:pPr>
        <w:spacing w:after="0" w:before="120"/>
      </w:pPr>
      <w:r>
        <w:t xml:space="preserve"/>
      </w:r>
    </w:p>
    <w:p>
      <w:pPr>
        <w:spacing w:after="60" w:before="60"/>
        <w:jc w:val="left"/>
      </w:pPr>
      <w:r>
        <w:rPr>
          <w:rFonts w:ascii="Arial" w:cs="Arial" w:eastAsia="Arial" w:hAnsi="Arial"/>
          <w:b w:val="false"/>
          <w:bCs w:val="false"/>
          <w:i/>
          <w:iCs/>
          <w:color w:val="444444"/>
          <w:sz w:val="22"/>
          <w:szCs w:val="22"/>
        </w:rPr>
        <w:t xml:space="preserve">Stage 7 is the highest-stakes stage in the curriculum sequence because it is the most visible. The first home esports match is the conglomerate's public debut — every division's work from Stage 0 through Stage 6 is on display simultaneously. The brand identity is on the jerseys and the signage. The pricing is on the merchandise table. The digital presence drove the audience there. The safety plan is active in the venue. The customer service standards govern every interaction. Promotion is not what Stage 7 teaches — it is what Stage 7 uses to test everything the program has built.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41E" w:val="clear"/>
            <w:tcMar>
              <w:top w:type="dxa" w:w="120"/>
              <w:left w:type="dxa" w:w="160"/>
              <w:bottom w:type="dxa" w:w="120"/>
              <w:right w:type="dxa" w:w="160"/>
            </w:tcMar>
          </w:tcPr>
          <w:p>
            <w:r>
              <w:rPr>
                <w:rFonts w:ascii="Arial" w:cs="Arial" w:eastAsia="Arial" w:hAnsi="Arial"/>
                <w:b/>
                <w:bCs/>
                <w:color w:val="FFFFFF"/>
                <w:sz w:val="24"/>
                <w:szCs w:val="24"/>
              </w:rPr>
              <w:t xml:space="preserve">STAGE 7  ·  PROMOTION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80"/>
              <w:left w:type="dxa" w:w="0"/>
              <w:bottom w:type="dxa" w:w="80"/>
              <w:right w:type="dxa" w:w="160"/>
            </w:tcMar>
            <w:vAlign w:val="center"/>
          </w:tcPr>
          <w:p>
            <w:r>
              <w:rPr>
                <w:rFonts w:ascii="Arial" w:cs="Arial" w:eastAsia="Arial" w:hAnsi="Arial"/>
                <w:b/>
                <w:bCs/>
                <w:color w:val="1D3557"/>
                <w:sz w:val="30"/>
                <w:szCs w:val="30"/>
              </w:rPr>
              <w:t xml:space="preserve">Promotion, Sponsorship &amp; Endorsements</w:t>
            </w:r>
          </w:p>
        </w:tc>
        <w:tc>
          <w:tcPr>
            <w:tcW w:type="dxa" w:w="2560"/>
            <w:tcBorders>
              <w:top w:val="none" w:color="FFFFFF" w:sz="0"/>
              <w:left w:val="none" w:color="FFFFFF" w:sz="0"/>
              <w:bottom w:val="none" w:color="FFFFFF" w:sz="0"/>
              <w:right w:val="none" w:color="FFFFFF" w:sz="0"/>
            </w:tcBorders>
            <w:tcMar>
              <w:top w:type="dxa" w:w="80"/>
              <w:left w:type="dxa" w:w="0"/>
              <w:bottom w:type="dxa" w:w="80"/>
              <w:right w:type="dxa" w:w="0"/>
            </w:tcMar>
            <w:vAlign w:val="center"/>
          </w:tcPr>
          <w:tbl>
            <w:tblPr>
              <w:tblW w:type="dxa" w:w="2560"/>
              <w:tblBorders>
                <w:top w:val="single" w:color="auto" w:sz="4"/>
                <w:left w:val="single" w:color="auto" w:sz="4"/>
                <w:bottom w:val="single" w:color="auto" w:sz="4"/>
                <w:right w:val="single" w:color="auto" w:sz="4"/>
                <w:insideH w:val="single" w:color="auto" w:sz="4"/>
                <w:insideV w:val="single" w:color="auto" w:sz="4"/>
              </w:tblBorders>
            </w:tblPr>
            <w:tblGrid>
              <w:gridCol w:w="2560"/>
            </w:tblGrid>
            <w:tr>
              <w:tc>
                <w:tcPr>
                  <w:tcW w:type="dxa" w:w="2560"/>
                  <w:tcBorders>
                    <w:top w:val="none" w:color="FFFFFF" w:sz="0"/>
                    <w:left w:val="none" w:color="FFFFFF" w:sz="0"/>
                    <w:bottom w:val="none" w:color="FFFFFF" w:sz="0"/>
                    <w:right w:val="none" w:color="FFFFFF" w:sz="0"/>
                  </w:tcBorders>
                  <w:shd w:fill="3C348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8175 only</w:t>
                  </w:r>
                </w:p>
              </w:tc>
            </w:tr>
            <w:tr>
              <w:tc>
                <w:tcPr>
                  <w:tcW w:type="dxa" w:w="2560"/>
                  <w:tcBorders>
                    <w:top w:val="none" w:color="FFFFFF" w:sz="0"/>
                    <w:left w:val="none" w:color="FFFFFF" w:sz="0"/>
                    <w:bottom w:val="none" w:color="FFFFFF" w:sz="0"/>
                    <w:right w:val="none" w:color="FFFFFF" w:sz="0"/>
                  </w:tcBorders>
                  <w:shd w:fill="EDF2F7" w:val="clear"/>
                  <w:tcMar>
                    <w:top w:type="dxa" w:w="80"/>
                    <w:left w:type="dxa" w:w="120"/>
                    <w:bottom w:type="dxa" w:w="80"/>
                    <w:right w:type="dxa" w:w="120"/>
                  </w:tcMar>
                </w:tcPr>
                <w:p>
                  <w:pPr>
                    <w:jc w:val="center"/>
                  </w:pPr>
                  <w:r>
                    <w:rPr>
                      <w:rFonts w:ascii="Arial" w:cs="Arial" w:eastAsia="Arial" w:hAnsi="Arial"/>
                      <w:color w:val="2D3748"/>
                      <w:sz w:val="18"/>
                      <w:szCs w:val="18"/>
                    </w:rPr>
                    <w:t xml:space="preserve">8175 primary · 8177 context</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8175</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72–77, 83–85, 87–93</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8177</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 (contextual participation)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Overlap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8175 only</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Promotion — how the conglomerate pulls its audience toward the product and the event</w:t>
            </w:r>
          </w:p>
        </w:tc>
      </w:tr>
    </w:tbl>
    <w:p>
      <w:pPr>
        <w:spacing w:after="0" w:before="120"/>
      </w:pPr>
      <w:r>
        <w:t xml:space="preserve"/>
      </w:r>
    </w:p>
    <w:p>
      <w:pPr>
        <w:pBdr>
          <w:bottom w:val="single" w:color="7B341E" w:sz="4" w:space="2"/>
        </w:pBdr>
        <w:spacing w:after="60" w:before="200"/>
      </w:pPr>
      <w:r>
        <w:rPr>
          <w:rFonts w:ascii="Arial" w:cs="Arial" w:eastAsia="Arial" w:hAnsi="Arial"/>
          <w:b/>
          <w:bCs/>
          <w:color w:val="7B341E"/>
          <w:sz w:val="20"/>
          <w:szCs w:val="20"/>
        </w:rPr>
        <w:t xml:space="preserve">LEARNING OBJECTIVES</w:t>
      </w:r>
    </w:p>
    <w:p>
      <w:pPr>
        <w:spacing w:after="60" w:before="60"/>
        <w:jc w:val="left"/>
      </w:pPr>
      <w:r>
        <w:rPr>
          <w:rFonts w:ascii="Arial" w:cs="Arial" w:eastAsia="Arial" w:hAnsi="Arial"/>
          <w:b/>
          <w:bCs/>
          <w:i w:val="false"/>
          <w:iCs w:val="false"/>
          <w:color w:val="3C3489"/>
          <w:sz w:val="22"/>
          <w:szCs w:val="22"/>
        </w:rPr>
        <w:t xml:space="preserve">8175 Marketing:  </w:t>
      </w:r>
      <w:r>
        <w:rPr>
          <w:rFonts w:ascii="Arial" w:cs="Arial" w:eastAsia="Arial" w:hAnsi="Arial"/>
          <w:b w:val="false"/>
          <w:bCs w:val="false"/>
          <w:i w:val="false"/>
          <w:iCs w:val="false"/>
          <w:color w:val="000000"/>
          <w:sz w:val="22"/>
          <w:szCs w:val="22"/>
        </w:rPr>
        <w:t xml:space="preserve">Students can explain promotion and the promotional mix; identify roles of advertising, publicity, sales promotion, direct marketing, and personal selling; describe advertising elements and goals; explain public relations and PR tools; explain sponsorship and endorsements with legal restrictions and current trends; identify stakeholder components; explain sales promotion advantages; and describe elements of a promotional campaign.</w:t>
      </w:r>
    </w:p>
    <w:p>
      <w:pPr>
        <w:spacing w:after="60" w:before="60"/>
        <w:jc w:val="left"/>
      </w:pPr>
      <w:r>
        <w:rPr>
          <w:rFonts w:ascii="Arial" w:cs="Arial" w:eastAsia="Arial" w:hAnsi="Arial"/>
          <w:b/>
          <w:bCs/>
          <w:i w:val="false"/>
          <w:iCs w:val="false"/>
          <w:color w:val="085041"/>
          <w:sz w:val="22"/>
          <w:szCs w:val="22"/>
        </w:rPr>
        <w:t xml:space="preserve">8177 Management:  </w:t>
      </w:r>
      <w:r>
        <w:rPr>
          <w:rFonts w:ascii="Arial" w:cs="Arial" w:eastAsia="Arial" w:hAnsi="Arial"/>
          <w:b w:val="false"/>
          <w:bCs w:val="false"/>
          <w:i w:val="false"/>
          <w:iCs w:val="false"/>
          <w:color w:val="000000"/>
          <w:sz w:val="22"/>
          <w:szCs w:val="22"/>
        </w:rPr>
        <w:t xml:space="preserve">No formal competency requirement — 8177 management students participate as campaign commissioners and stakeholder representatives, applying the promotional framework to operational decisions about event promotion and league sponsorship.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1" w:val="clear"/>
            <w:tcMar>
              <w:top w:type="dxa" w:w="120"/>
              <w:left w:type="dxa" w:w="160"/>
              <w:bottom w:type="dxa" w:w="120"/>
              <w:right w:type="dxa" w:w="160"/>
            </w:tcMar>
          </w:tcPr>
          <w:p>
            <w:r>
              <w:rPr>
                <w:rFonts w:ascii="Arial" w:cs="Arial" w:eastAsia="Arial" w:hAnsi="Arial"/>
                <w:b/>
                <w:bCs/>
                <w:color w:val="085041"/>
                <w:sz w:val="20"/>
                <w:szCs w:val="20"/>
              </w:rPr>
              <w:t xml:space="preserve">By the end of this unit, you will be able to:</w:t>
            </w:r>
          </w:p>
          <w:p>
            <w:pPr>
              <w:spacing w:before="60"/>
            </w:pPr>
            <w:r>
              <w:rPr>
                <w:rFonts w:ascii="Arial" w:cs="Arial" w:eastAsia="Arial" w:hAnsi="Arial"/>
                <w:i/>
                <w:iCs/>
                <w:sz w:val="20"/>
                <w:szCs w:val="20"/>
              </w:rPr>
              <w:t xml:space="preserve">Design and execute a real promotional campaign for the esports league's first home match — using the full promotional mix, applying sponsorship principles, and producing measurable results against defined goals.</w:t>
            </w:r>
          </w:p>
        </w:tc>
      </w:tr>
    </w:tbl>
    <w:p>
      <w:pPr>
        <w:spacing w:after="0" w:before="120"/>
      </w:pPr>
      <w:r>
        <w:t xml:space="preserve"/>
      </w:r>
    </w:p>
    <w:p>
      <w:pPr>
        <w:pBdr>
          <w:bottom w:val="single" w:color="7B341E" w:sz="4" w:space="2"/>
        </w:pBdr>
        <w:spacing w:after="60" w:before="200"/>
      </w:pPr>
      <w:r>
        <w:rPr>
          <w:rFonts w:ascii="Arial" w:cs="Arial" w:eastAsia="Arial" w:hAnsi="Arial"/>
          <w:b/>
          <w:bCs/>
          <w:color w:val="7B341E"/>
          <w:sz w:val="20"/>
          <w:szCs w:val="20"/>
        </w:rPr>
        <w:t xml:space="preserve">WARM-UP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CE8" w:val="clear"/>
            <w:tcMar>
              <w:top w:type="dxa" w:w="120"/>
              <w:left w:type="dxa" w:w="160"/>
              <w:bottom w:type="dxa" w:w="120"/>
              <w:right w:type="dxa" w:w="160"/>
            </w:tcMar>
          </w:tcPr>
          <w:p>
            <w:pPr>
              <w:spacing w:before="0"/>
            </w:pPr>
            <w:r>
              <w:rPr>
                <w:rFonts w:ascii="Arial" w:cs="Arial" w:eastAsia="Arial" w:hAnsi="Arial"/>
                <w:i/>
                <w:iCs/>
                <w:sz w:val="20"/>
                <w:szCs w:val="20"/>
              </w:rPr>
              <w:t xml:space="preserve">The first home esports match is three weeks away. You have six computers, a large format printer, a social media account with 47 followers, and zero budget for paid advertising. The goal is 80 student spectators in the seats. Build the promotional plan in the next five minutes — what do you do first, second, and third, and why in that order?</w:t>
            </w:r>
          </w:p>
        </w:tc>
      </w:tr>
    </w:tbl>
    <w:p>
      <w:pPr>
        <w:spacing w:after="0" w:before="120"/>
      </w:pPr>
      <w:r>
        <w:t xml:space="preserve"/>
      </w:r>
    </w:p>
    <w:p>
      <w:pPr>
        <w:spacing w:after="60" w:before="60"/>
        <w:jc w:val="left"/>
      </w:pPr>
      <w:r>
        <w:rPr>
          <w:rFonts w:ascii="Arial" w:cs="Arial" w:eastAsia="Arial" w:hAnsi="Arial"/>
          <w:b/>
          <w:bCs/>
          <w:i w:val="false"/>
          <w:iCs w:val="false"/>
          <w:color w:val="000000"/>
          <w:sz w:val="22"/>
          <w:szCs w:val="22"/>
        </w:rPr>
        <w:t xml:space="preserve">Why this matters:  </w:t>
      </w:r>
      <w:r>
        <w:rPr>
          <w:rFonts w:ascii="Arial" w:cs="Arial" w:eastAsia="Arial" w:hAnsi="Arial"/>
          <w:b w:val="false"/>
          <w:bCs w:val="false"/>
          <w:i/>
          <w:iCs/>
          <w:color w:val="555555"/>
          <w:sz w:val="22"/>
          <w:szCs w:val="22"/>
        </w:rPr>
        <w:t xml:space="preserve">Every promotional concept in this unit — the promotional mix, advertising elements, PR tools, sponsorship mechanics — has a direct application to the first home match. Students are not studying promotion in the abstract; they are building a live campaign. The match is the deadline. Eighty seats is the goal. The results are measurable.</w:t>
      </w:r>
    </w:p>
    <w:p>
      <w:pPr>
        <w:spacing w:after="0" w:before="120"/>
      </w:pPr>
      <w:r>
        <w:t xml:space="preserve"/>
      </w:r>
    </w:p>
    <w:p>
      <w:pPr>
        <w:pBdr>
          <w:bottom w:val="single" w:color="7B341E" w:sz="4" w:space="2"/>
        </w:pBdr>
        <w:spacing w:after="60" w:before="200"/>
      </w:pPr>
      <w:r>
        <w:rPr>
          <w:rFonts w:ascii="Arial" w:cs="Arial" w:eastAsia="Arial" w:hAnsi="Arial"/>
          <w:b/>
          <w:bCs/>
          <w:color w:val="7B341E"/>
          <w:sz w:val="20"/>
          <w:szCs w:val="20"/>
        </w:rPr>
        <w:t xml:space="preserve">CORE CONTENT</w:t>
      </w:r>
    </w:p>
    <w:p>
      <w:pPr>
        <w:pStyle w:val="ListParagraph"/>
        <w:numPr>
          <w:ilvl w:val="0"/>
          <w:numId w:val="2"/>
        </w:numPr>
        <w:spacing w:after="40" w:before="40"/>
      </w:pPr>
      <w:r>
        <w:rPr>
          <w:rFonts w:ascii="Arial" w:cs="Arial" w:eastAsia="Arial" w:hAnsi="Arial"/>
          <w:sz w:val="22"/>
          <w:szCs w:val="22"/>
        </w:rPr>
        <w:t xml:space="preserve">The promotional mix has five components: advertising (paid, non-personal), publicity (earned, non-personal), sales promotion (short-term incentives), direct marketing (targeted, personal at scale), and personal selling (one-on-one). In sports and entertainment, all five are used simultaneously around live events — and students have access to all five without a paid media budget.</w:t>
      </w:r>
    </w:p>
    <w:p>
      <w:pPr>
        <w:pStyle w:val="ListParagraph"/>
        <w:numPr>
          <w:ilvl w:val="0"/>
          <w:numId w:val="2"/>
        </w:numPr>
        <w:spacing w:after="40" w:before="40"/>
      </w:pPr>
      <w:r>
        <w:rPr>
          <w:rFonts w:ascii="Arial" w:cs="Arial" w:eastAsia="Arial" w:hAnsi="Arial"/>
          <w:sz w:val="22"/>
          <w:szCs w:val="22"/>
        </w:rPr>
        <w:t xml:space="preserve">Advertising in sports and entertainment: the large format printer produces physical advertising — posters, banners, bracket displays, venue signage. The social media channels produce digital advertising. The school announcement system produces broadcast advertising. Each channel reaches a different segment of the school community identified in the Stage 3 market research.</w:t>
      </w:r>
    </w:p>
    <w:p>
      <w:pPr>
        <w:pStyle w:val="ListParagraph"/>
        <w:numPr>
          <w:ilvl w:val="0"/>
          <w:numId w:val="2"/>
        </w:numPr>
        <w:spacing w:after="40" w:before="40"/>
      </w:pPr>
      <w:r>
        <w:rPr>
          <w:rFonts w:ascii="Arial" w:cs="Arial" w:eastAsia="Arial" w:hAnsi="Arial"/>
          <w:sz w:val="22"/>
          <w:szCs w:val="22"/>
        </w:rPr>
        <w:t xml:space="preserve">Public relations vs. advertising: advertising is paid and controlled; PR is earned and less controlled. A news story in the school paper about the esports team is PR — the conglomerate doesn't write it, but they can pitch it. A poster the conglomerate designs and prints is advertising. Both matter; PR is generally more credible.</w:t>
      </w:r>
    </w:p>
    <w:p>
      <w:pPr>
        <w:pStyle w:val="ListParagraph"/>
        <w:numPr>
          <w:ilvl w:val="0"/>
          <w:numId w:val="2"/>
        </w:numPr>
        <w:spacing w:after="40" w:before="40"/>
      </w:pPr>
      <w:r>
        <w:rPr>
          <w:rFonts w:ascii="Arial" w:cs="Arial" w:eastAsia="Arial" w:hAnsi="Arial"/>
          <w:sz w:val="22"/>
          <w:szCs w:val="22"/>
        </w:rPr>
        <w:t xml:space="preserve">PR tools (Task 84): press releases, media kits, social media, community events, and spokesperson appearances are all PR tools the conglomerate can use without a budget. The Media &amp; PR division owns these tools. A well-written press release to the school paper about the league launch is a PR action that advertising cannot replicate.</w:t>
      </w:r>
    </w:p>
    <w:p>
      <w:pPr>
        <w:pStyle w:val="ListParagraph"/>
        <w:numPr>
          <w:ilvl w:val="0"/>
          <w:numId w:val="2"/>
        </w:numPr>
        <w:spacing w:after="40" w:before="40"/>
      </w:pPr>
      <w:r>
        <w:rPr>
          <w:rFonts w:ascii="Arial" w:cs="Arial" w:eastAsia="Arial" w:hAnsi="Arial"/>
          <w:sz w:val="22"/>
          <w:szCs w:val="22"/>
        </w:rPr>
        <w:t xml:space="preserve">Sponsorship vs. endorsement (Task 87–88): sponsorship is an organization paying to be associated with an event or entity — a local business paying to have its name on the esports league bracket board. Endorsement is a person publicly recommending a product — a student influencer promoting the school store. Both have legal restrictions (Task 89) and require written agreements.</w:t>
      </w:r>
    </w:p>
    <w:p>
      <w:pPr>
        <w:pStyle w:val="ListParagraph"/>
        <w:numPr>
          <w:ilvl w:val="0"/>
          <w:numId w:val="2"/>
        </w:numPr>
        <w:spacing w:after="40" w:before="40"/>
      </w:pPr>
      <w:r>
        <w:rPr>
          <w:rFonts w:ascii="Arial" w:cs="Arial" w:eastAsia="Arial" w:hAnsi="Arial"/>
          <w:sz w:val="22"/>
          <w:szCs w:val="22"/>
        </w:rPr>
        <w:t xml:space="preserve">Sponsorship stakeholder relationships (Task 91): the sponsor wants visibility and audience association. The conglomerate wants revenue or in-kind support. The audience wants authentic connection, not intrusive advertising. Managing all three interests simultaneously is the craft of sponsorship activation.</w:t>
      </w:r>
    </w:p>
    <w:p>
      <w:pPr>
        <w:pStyle w:val="ListParagraph"/>
        <w:numPr>
          <w:ilvl w:val="0"/>
          <w:numId w:val="2"/>
        </w:numPr>
        <w:spacing w:after="40" w:before="40"/>
      </w:pPr>
      <w:r>
        <w:rPr>
          <w:rFonts w:ascii="Arial" w:cs="Arial" w:eastAsia="Arial" w:hAnsi="Arial"/>
          <w:sz w:val="22"/>
          <w:szCs w:val="22"/>
        </w:rPr>
        <w:t xml:space="preserve">Promotional campaign elements (Task 93): a campaign has a defined objective (80 spectators at the first match), a target audience (students grades 9–12 identified by the Stage 3 segments), a message (what makes this worth attending), a channel mix (which platforms and physical locations), a timeline (three weeks of escalating urgency), and measurement (how do you know it worked).</w:t>
      </w:r>
    </w:p>
    <w:p>
      <w:pPr>
        <w:pStyle w:val="ListParagraph"/>
        <w:numPr>
          <w:ilvl w:val="0"/>
          <w:numId w:val="2"/>
        </w:numPr>
        <w:spacing w:after="40" w:before="40"/>
      </w:pPr>
      <w:r>
        <w:rPr>
          <w:rFonts w:ascii="Arial" w:cs="Arial" w:eastAsia="Arial" w:hAnsi="Arial"/>
          <w:sz w:val="22"/>
          <w:szCs w:val="22"/>
        </w:rPr>
        <w:t xml:space="preserve">Sales promotion in sports and entertainment (Task 92): free giveaways at the door, early-bird pricing, bundled ticket and merchandise offers, and social media contests are all sales promotion tools. They create urgency and lower the barrier to first attendance — critical for an event with no prior audience history.</w:t>
      </w:r>
    </w:p>
    <w:p>
      <w:pPr>
        <w:spacing w:after="0" w:before="120"/>
      </w:pPr>
      <w:r>
        <w:t xml:space="preserve"/>
      </w:r>
    </w:p>
    <w:p>
      <w:pPr>
        <w:pBdr>
          <w:bottom w:val="single" w:color="7B341E" w:sz="4" w:space="2"/>
        </w:pBdr>
        <w:spacing w:after="60" w:before="200"/>
      </w:pPr>
      <w:r>
        <w:rPr>
          <w:rFonts w:ascii="Arial" w:cs="Arial" w:eastAsia="Arial" w:hAnsi="Arial"/>
          <w:b/>
          <w:bCs/>
          <w:color w:val="7B341E"/>
          <w:sz w:val="20"/>
          <w:szCs w:val="20"/>
        </w:rPr>
        <w:t xml:space="preserve">DIVISION CONTEXT — WHERE THIS LIVES IN THE CONGLOMERATE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Active 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Media &amp; PR (primary) + Creative Studio (assets) + Events Division (event promotion) + Esports Division (content)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What students do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Students design and execute a three-week promotional campaign for the first home esports match. Week one: campaign strategy and asset production. Week two: content rollout and community outreach. Week three: urgency push, event-day promotion, and day-of activation. The large format printer runs continuously producing signage, posters, and bracket displays. Every piece of promotional content is approved against the Social Media Policy from Stage 5 before posting.</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Esports connection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The esports team is both the subject of the campaign and a promotional asset itself. Player profiles produced by Media &amp; PR, match preview content, team announcement posts, and behind-the-scenes content from practice are all authentic promotional content that advertising cannot manufacture. The League Manager coordinates player availability for content production. The team's Discord server is activated as a community promotional channel.</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Connects 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Stage 8 (Synthesis) — the promotional campaign produced here is a component of the marketing plan. The campaign brief, the asset library, and the results measurement are all inputs to the Stage 8 deliverable. Stage 9 (Career) — students who can document a real promotional campaign they designed and executed have a portfolio artifact for career development.</w:t>
            </w:r>
          </w:p>
        </w:tc>
      </w:tr>
    </w:tbl>
    <w:p>
      <w:pPr>
        <w:spacing w:after="0" w:before="120"/>
      </w:pPr>
      <w:r>
        <w:t xml:space="preserve"/>
      </w:r>
    </w:p>
    <w:p>
      <w:pPr>
        <w:pBdr>
          <w:bottom w:val="single" w:color="7B341E" w:sz="4" w:space="2"/>
        </w:pBdr>
        <w:spacing w:after="60" w:before="200"/>
      </w:pPr>
      <w:r>
        <w:rPr>
          <w:rFonts w:ascii="Arial" w:cs="Arial" w:eastAsia="Arial" w:hAnsi="Arial"/>
          <w:b/>
          <w:bCs/>
          <w:color w:val="7B341E"/>
          <w:sz w:val="20"/>
          <w:szCs w:val="20"/>
        </w:rPr>
        <w:t xml:space="preserve">WORK-BASED LEARNING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WBL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Live promotional campaign — design, execution, and measurement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Work product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Four deliverables: (1) Campaign brief — one page defining objective, audience, message, channel mix, timeline, and success metrics. Approved by General Manager before execution begins. (2) Asset library — all promotional materials produced: posters, social graphics, digital signage, press release, event-day signage. Filed in the Creative Studio shared drive. (3) Sponsorship prospectus — a one-page document the conglomerate can present to potential sponsors for the league, defining sponsorship tiers and benefits. (4) Campaign results report — post-match document measuring actual attendance against goal, social reach, and engagement metrics. Honest assessment of what worked and what didn't.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8175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Promotions &amp; Sponsorship rotation students lead campaign design and execution. Brand &amp; Creative rotation students produce all visual assets using templates established in Stage 2. Sales &amp; Customer Experience students handle event-day promotional activation — giveaways, merch table setup, spectator engagement. Marketing Advisor rotation students write the campaign brief and results report.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8177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General Manager approves the campaign brief and sponsorship prospectus. Events Manager integrates promotional timeline with event logistics — what signage goes where, when, and who installs it. League Manager coordinates player content and manages the Discord promotional campaign. All 8177 students review the campaign results report and contribute a management perspective on what the results mean for future events.</w:t>
            </w:r>
          </w:p>
        </w:tc>
      </w:tr>
    </w:tbl>
    <w:p>
      <w:pPr>
        <w:spacing w:after="0" w:before="120"/>
      </w:pPr>
      <w:r>
        <w:t xml:space="preserve"/>
      </w:r>
    </w:p>
    <w:p>
      <w:pPr>
        <w:pBdr>
          <w:bottom w:val="single" w:color="7B341E" w:sz="4" w:space="2"/>
        </w:pBdr>
        <w:spacing w:after="60" w:before="200"/>
      </w:pPr>
      <w:r>
        <w:rPr>
          <w:rFonts w:ascii="Arial" w:cs="Arial" w:eastAsia="Arial" w:hAnsi="Arial"/>
          <w:b/>
          <w:bCs/>
          <w:color w:val="7B341E"/>
          <w:sz w:val="20"/>
          <w:szCs w:val="20"/>
        </w:rPr>
        <w:t xml:space="preserve">EQUIPMENT IN USE</w:t>
      </w:r>
    </w:p>
    <w:p>
      <w:pPr>
        <w:pStyle w:val="ListParagraph"/>
        <w:numPr>
          <w:ilvl w:val="0"/>
          <w:numId w:val="2"/>
        </w:numPr>
        <w:spacing w:after="40" w:before="40"/>
      </w:pPr>
      <w:r>
        <w:rPr>
          <w:rFonts w:ascii="Arial" w:cs="Arial" w:eastAsia="Arial" w:hAnsi="Arial"/>
          <w:sz w:val="22"/>
          <w:szCs w:val="22"/>
        </w:rPr>
        <w:t xml:space="preserve">Large format printer — continuous use: event posters (multiple sizes), bracket display board, venue banners, sponsor recognition signage, event-day directional signage</w:t>
      </w:r>
    </w:p>
    <w:p>
      <w:pPr>
        <w:pStyle w:val="ListParagraph"/>
        <w:numPr>
          <w:ilvl w:val="0"/>
          <w:numId w:val="2"/>
        </w:numPr>
        <w:spacing w:after="40" w:before="40"/>
      </w:pPr>
      <w:r>
        <w:rPr>
          <w:rFonts w:ascii="Arial" w:cs="Arial" w:eastAsia="Arial" w:hAnsi="Arial"/>
          <w:sz w:val="22"/>
          <w:szCs w:val="22"/>
        </w:rPr>
        <w:t xml:space="preserve">Computers — social media content scheduling and posting, press release drafting, campaign brief and results report, sponsorship prospectus design, Discord community management</w:t>
      </w:r>
    </w:p>
    <w:p>
      <w:pPr>
        <w:pStyle w:val="ListParagraph"/>
        <w:numPr>
          <w:ilvl w:val="0"/>
          <w:numId w:val="2"/>
        </w:numPr>
        <w:spacing w:after="40" w:before="40"/>
      </w:pPr>
      <w:r>
        <w:rPr>
          <w:rFonts w:ascii="Arial" w:cs="Arial" w:eastAsia="Arial" w:hAnsi="Arial"/>
          <w:sz w:val="22"/>
          <w:szCs w:val="22"/>
        </w:rPr>
        <w:t xml:space="preserve">Scanner — digitize any hand-drawn sketches or draft layouts before digital production</w:t>
      </w:r>
    </w:p>
    <w:p>
      <w:pPr>
        <w:pStyle w:val="ListParagraph"/>
        <w:numPr>
          <w:ilvl w:val="0"/>
          <w:numId w:val="2"/>
        </w:numPr>
        <w:spacing w:after="40" w:before="40"/>
      </w:pPr>
      <w:r>
        <w:rPr>
          <w:rFonts w:ascii="Arial" w:cs="Arial" w:eastAsia="Arial" w:hAnsi="Arial"/>
          <w:sz w:val="22"/>
          <w:szCs w:val="22"/>
        </w:rPr>
        <w:t xml:space="preserve">Sublimation printer + heat press — event-day giveaway items if budget and time permit: custom lanyards, stickers, or small hard goods as attendance incentives</w:t>
      </w:r>
    </w:p>
    <w:p>
      <w:pPr>
        <w:spacing w:after="0" w:before="120"/>
      </w:pPr>
      <w:r>
        <w:t xml:space="preserve"/>
      </w:r>
    </w:p>
    <w:p>
      <w:pPr>
        <w:pBdr>
          <w:bottom w:val="single" w:color="7B341E" w:sz="4" w:space="2"/>
        </w:pBdr>
        <w:spacing w:after="60" w:before="200"/>
      </w:pPr>
      <w:r>
        <w:rPr>
          <w:rFonts w:ascii="Arial" w:cs="Arial" w:eastAsia="Arial" w:hAnsi="Arial"/>
          <w:b/>
          <w:bCs/>
          <w:color w:val="7B341E"/>
          <w:sz w:val="20"/>
          <w:szCs w:val="20"/>
        </w:rPr>
        <w:t xml:space="preserve">COURSE-SPECIFIC EXTENSION</w:t>
      </w:r>
    </w:p>
    <w:p>
      <w:pPr>
        <w:spacing w:after="60" w:before="60"/>
        <w:jc w:val="left"/>
      </w:pPr>
      <w:r>
        <w:rPr>
          <w:rFonts w:ascii="Arial" w:cs="Arial" w:eastAsia="Arial" w:hAnsi="Arial"/>
          <w:b/>
          <w:bCs/>
          <w:i w:val="false"/>
          <w:iCs w:val="false"/>
          <w:color w:val="3C3489"/>
          <w:sz w:val="22"/>
          <w:szCs w:val="22"/>
        </w:rPr>
        <w:t xml:space="preserve">8175 Marketing goes deeper on:</w:t>
      </w:r>
    </w:p>
    <w:p>
      <w:pPr>
        <w:pStyle w:val="ListParagraph"/>
        <w:numPr>
          <w:ilvl w:val="0"/>
          <w:numId w:val="2"/>
        </w:numPr>
        <w:spacing w:after="40" w:before="40"/>
      </w:pPr>
      <w:r>
        <w:rPr>
          <w:rFonts w:ascii="Arial" w:cs="Arial" w:eastAsia="Arial" w:hAnsi="Arial"/>
          <w:sz w:val="22"/>
          <w:szCs w:val="22"/>
        </w:rPr>
        <w:t xml:space="preserve">Promotional mix application (Task 72–73): students map every promotional action in their campaign to one of the five promotional mix components. No promotional action is unaccounted for. The campaign brief includes a promotional mix allocation — how much time and resource goes to each component and why.</w:t>
      </w:r>
    </w:p>
    <w:p>
      <w:pPr>
        <w:pStyle w:val="ListParagraph"/>
        <w:numPr>
          <w:ilvl w:val="0"/>
          <w:numId w:val="2"/>
        </w:numPr>
        <w:spacing w:after="40" w:before="40"/>
      </w:pPr>
      <w:r>
        <w:rPr>
          <w:rFonts w:ascii="Arial" w:cs="Arial" w:eastAsia="Arial" w:hAnsi="Arial"/>
          <w:sz w:val="22"/>
          <w:szCs w:val="22"/>
        </w:rPr>
        <w:t xml:space="preserve">Advertisement evaluation (Task 77): students evaluate three pieces of promotional content produced for the campaign against the goals and methods framework — did the poster achieve its awareness goal? Did the social post achieve its engagement goal? Evidence-based assessment, not opinion.</w:t>
      </w:r>
    </w:p>
    <w:p>
      <w:pPr>
        <w:pStyle w:val="ListParagraph"/>
        <w:numPr>
          <w:ilvl w:val="0"/>
          <w:numId w:val="2"/>
        </w:numPr>
        <w:spacing w:after="40" w:before="40"/>
      </w:pPr>
      <w:r>
        <w:rPr>
          <w:rFonts w:ascii="Arial" w:cs="Arial" w:eastAsia="Arial" w:hAnsi="Arial"/>
          <w:sz w:val="22"/>
          <w:szCs w:val="22"/>
        </w:rPr>
        <w:t xml:space="preserve">PR tools in practice (Task 83–84): students pitch a story about the esports league to the school newspaper or morning announcement program. They write the pitch, follow up, and document the outcome — whether the story runs or not. Both outcomes are learning.</w:t>
      </w:r>
    </w:p>
    <w:p>
      <w:pPr>
        <w:pStyle w:val="ListParagraph"/>
        <w:numPr>
          <w:ilvl w:val="0"/>
          <w:numId w:val="2"/>
        </w:numPr>
        <w:spacing w:after="40" w:before="40"/>
      </w:pPr>
      <w:r>
        <w:rPr>
          <w:rFonts w:ascii="Arial" w:cs="Arial" w:eastAsia="Arial" w:hAnsi="Arial"/>
          <w:sz w:val="22"/>
          <w:szCs w:val="22"/>
        </w:rPr>
        <w:t xml:space="preserve">Legal restrictions on endorsements (Task 89): if the conglomerate asks a popular student to promote the school store on their personal social media, what are the legal and ethical requirements? Students research FTC disclosure guidelines for student-age influencers and write a one-paragraph policy for the conglomerate.</w:t>
      </w:r>
    </w:p>
    <w:p>
      <w:pPr>
        <w:pStyle w:val="ListParagraph"/>
        <w:numPr>
          <w:ilvl w:val="0"/>
          <w:numId w:val="2"/>
        </w:numPr>
        <w:spacing w:after="40" w:before="40"/>
      </w:pPr>
      <w:r>
        <w:rPr>
          <w:rFonts w:ascii="Arial" w:cs="Arial" w:eastAsia="Arial" w:hAnsi="Arial"/>
          <w:sz w:val="22"/>
          <w:szCs w:val="22"/>
        </w:rPr>
        <w:t xml:space="preserve">Sponsorship prospectus depth (Tasks 87–91): students research three local businesses that might be logical sponsors for the esports league — gaming cafes, tech retailers, food service — and write a customized one-paragraph outreach pitch for each, connecting the sponsor's audience to the conglomerate's.</w:t>
      </w:r>
    </w:p>
    <w:p>
      <w:pPr>
        <w:spacing w:after="0" w:before="120"/>
      </w:pPr>
      <w:r>
        <w:t xml:space="preserve"/>
      </w:r>
    </w:p>
    <w:p>
      <w:pPr>
        <w:spacing w:after="60" w:before="60"/>
        <w:jc w:val="left"/>
      </w:pPr>
      <w:r>
        <w:rPr>
          <w:rFonts w:ascii="Arial" w:cs="Arial" w:eastAsia="Arial" w:hAnsi="Arial"/>
          <w:b/>
          <w:bCs/>
          <w:i w:val="false"/>
          <w:iCs w:val="false"/>
          <w:color w:val="085041"/>
          <w:sz w:val="22"/>
          <w:szCs w:val="22"/>
        </w:rPr>
        <w:t xml:space="preserve">8177 Management goes deeper on:</w:t>
      </w:r>
    </w:p>
    <w:p>
      <w:pPr>
        <w:pStyle w:val="ListParagraph"/>
        <w:numPr>
          <w:ilvl w:val="0"/>
          <w:numId w:val="2"/>
        </w:numPr>
        <w:spacing w:after="40" w:before="40"/>
      </w:pPr>
      <w:r>
        <w:rPr>
          <w:rFonts w:ascii="Arial" w:cs="Arial" w:eastAsia="Arial" w:hAnsi="Arial"/>
          <w:sz w:val="22"/>
          <w:szCs w:val="22"/>
        </w:rPr>
        <w:t xml:space="preserve">Stakeholder management (Task 91 context): management students map all stakeholders in the first home match — the esports team, spectators, sponsors, school administration, parents, and opposing teams — and identify the promotional message that serves each stakeholder's interest. Where do those interests conflict?</w:t>
      </w:r>
    </w:p>
    <w:p>
      <w:pPr>
        <w:pStyle w:val="ListParagraph"/>
        <w:numPr>
          <w:ilvl w:val="0"/>
          <w:numId w:val="2"/>
        </w:numPr>
        <w:spacing w:after="40" w:before="40"/>
      </w:pPr>
      <w:r>
        <w:rPr>
          <w:rFonts w:ascii="Arial" w:cs="Arial" w:eastAsia="Arial" w:hAnsi="Arial"/>
          <w:sz w:val="22"/>
          <w:szCs w:val="22"/>
        </w:rPr>
        <w:t xml:space="preserve">Campaign commissioner role: each 8177 management student acts as the internal client for one component of the promotional campaign — Events Manager commissions event-day signage, Store Manager commissions the merch table layout, League Manager commissions the bracket display. They write a one-paragraph brief for each commission and evaluate the delivered asset against it.</w:t>
      </w:r>
    </w:p>
    <w:p>
      <w:pPr>
        <w:pStyle w:val="ListParagraph"/>
        <w:numPr>
          <w:ilvl w:val="0"/>
          <w:numId w:val="2"/>
        </w:numPr>
        <w:spacing w:after="40" w:before="40"/>
      </w:pPr>
      <w:r>
        <w:rPr>
          <w:rFonts w:ascii="Arial" w:cs="Arial" w:eastAsia="Arial" w:hAnsi="Arial"/>
          <w:sz w:val="22"/>
          <w:szCs w:val="22"/>
        </w:rPr>
        <w:t xml:space="preserve">Sponsorship activation management: if the sponsorship prospectus generates interest from a real business, the General Manager manages the sponsor relationship. What does activation look like — where does the sponsor's name appear, what do they receive in exchange, how is the relationship maintained after the event?</w:t>
      </w:r>
    </w:p>
    <w:p>
      <w:pPr>
        <w:spacing w:after="0" w:before="120"/>
      </w:pPr>
      <w:r>
        <w:t xml:space="preserve"/>
      </w:r>
    </w:p>
    <w:p>
      <w:pPr>
        <w:pBdr>
          <w:bottom w:val="single" w:color="7B341E" w:sz="4" w:space="2"/>
        </w:pBdr>
        <w:spacing w:after="60" w:before="200"/>
      </w:pPr>
      <w:r>
        <w:rPr>
          <w:rFonts w:ascii="Arial" w:cs="Arial" w:eastAsia="Arial" w:hAnsi="Arial"/>
          <w:b/>
          <w:bCs/>
          <w:color w:val="7B341E"/>
          <w:sz w:val="20"/>
          <w:szCs w:val="20"/>
        </w:rP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Promotional mix</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combination of advertising, publicity, sales promotion, direct marketing, and personal selling used to communicate with a target audience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Campaign brief</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document defining a promotional campaign's objective, audience, message, channels, timeline, and success metrics — the plan before execution begins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Public relations (PR)</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Earned, non-paid communication that builds relationships between an organization and its publics — more credible than advertising because it isn't purchased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Sponsorship</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paid association between a business and an event, team, or entity — the sponsor gains visibility and audience association; the sponsored party gains resources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Endorsement</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public recommendation of a product or brand by a person — subject to legal disclosure requirements when compensation is involved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Sales promotion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Short-term incentives designed to create urgency and lower the barrier to purchase or attendance — giveaways, contests, and bundle offers are examples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Stakeholder</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Anyone with an interest in or affected by an organization's decisions — sponsors, players, spectators, school administration, and parents are all stakeholders in the esports league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Promotional campaign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coordinated set of promotional actions with a defined objective, target audience, message, channel mix, timeline, and measurement plan</w:t>
            </w:r>
          </w:p>
        </w:tc>
      </w:tr>
    </w:tbl>
    <w:p>
      <w:pPr>
        <w:spacing w:after="0" w:before="120"/>
      </w:pPr>
      <w:r>
        <w:t xml:space="preserve"/>
      </w:r>
    </w:p>
    <w:p>
      <w:pPr>
        <w:pBdr>
          <w:bottom w:val="single" w:color="7B341E" w:sz="4" w:space="2"/>
        </w:pBdr>
        <w:spacing w:after="60" w:before="200"/>
      </w:pPr>
      <w:r>
        <w:rPr>
          <w:rFonts w:ascii="Arial" w:cs="Arial" w:eastAsia="Arial" w:hAnsi="Arial"/>
          <w:b/>
          <w:bCs/>
          <w:color w:val="7B341E"/>
          <w:sz w:val="20"/>
          <w:szCs w:val="20"/>
        </w:rPr>
        <w:t xml:space="preserve">COMPETENCY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600"/>
        <w:gridCol w:w="600"/>
        <w:gridCol w:w="600"/>
      </w:tblGrid>
      <w:tr>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Task</w:t>
            </w:r>
          </w:p>
        </w:tc>
        <w:tc>
          <w:tcPr>
            <w:tcW w:type="dxa" w:w="596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Competency</w:t>
            </w:r>
          </w:p>
        </w:tc>
        <w:tc>
          <w:tcPr>
            <w:tcW w:type="dxa" w:w="1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Course</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Req.</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SCR</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72</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promotion and promotional mix.</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73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Identify the roles of advertising, publicity, sales promotion, direct marketing, and personal selling in the sports, entertainment, and event industries.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74</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methods of communication used in sports, entertainment, and event promotion.</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75</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Describe the elements of an advertisement.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76</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advertising as related to the sports, entertainment, and event industries.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77</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Identify the goals of advertising and the methods of evaluating an advertisement's success.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83</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public relations as related to the sports, entertainment, and event industries.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84</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Describe public relations (PR) tools.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85</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the internal and external aspects of public relations.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888888"/>
                <w:sz w:val="18"/>
                <w:szCs w:val="18"/>
              </w:rPr>
              <w:t xml:space="preserve">Opt.</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87</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Explain sponsorship and endorsements as they relate to the sports, entertainment, and event industries.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88</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Compare the reasons for using sponsorships vs. endorsements.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89</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Identify legal restrictions placed on endorsements and sponsorships.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90</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current trends in sponsorship within the sports, entertainment, and event industries.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91</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Describe the components and relationships between stakeholders.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92</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the advantages and disadvantages of using various forms of sales promotion in the sports, entertainment, and event industries.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93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Describe the elements of sports, entertainment, and event promotional campaigns.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41E" w:val="clear"/>
            <w:tcMar>
              <w:top w:type="dxa" w:w="120"/>
              <w:left w:type="dxa" w:w="160"/>
              <w:bottom w:type="dxa" w:w="120"/>
              <w:right w:type="dxa" w:w="160"/>
            </w:tcMar>
          </w:tcPr>
          <w:p>
            <w:r>
              <w:rPr>
                <w:rFonts w:ascii="Arial" w:cs="Arial" w:eastAsia="Arial" w:hAnsi="Arial"/>
                <w:b/>
                <w:bCs/>
                <w:color w:val="FFFFFF"/>
                <w:sz w:val="24"/>
                <w:szCs w:val="24"/>
              </w:rPr>
              <w:t xml:space="preserve">STAGE 7  ·  PROMOTION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80"/>
              <w:left w:type="dxa" w:w="0"/>
              <w:bottom w:type="dxa" w:w="80"/>
              <w:right w:type="dxa" w:w="160"/>
            </w:tcMar>
            <w:vAlign w:val="center"/>
          </w:tcPr>
          <w:p>
            <w:r>
              <w:rPr>
                <w:rFonts w:ascii="Arial" w:cs="Arial" w:eastAsia="Arial" w:hAnsi="Arial"/>
                <w:b/>
                <w:bCs/>
                <w:color w:val="1D3557"/>
                <w:sz w:val="30"/>
                <w:szCs w:val="30"/>
              </w:rPr>
              <w:t xml:space="preserve">Sales Process &amp; On-Site Merchandising</w:t>
            </w:r>
          </w:p>
        </w:tc>
        <w:tc>
          <w:tcPr>
            <w:tcW w:type="dxa" w:w="2560"/>
            <w:tcBorders>
              <w:top w:val="none" w:color="FFFFFF" w:sz="0"/>
              <w:left w:val="none" w:color="FFFFFF" w:sz="0"/>
              <w:bottom w:val="none" w:color="FFFFFF" w:sz="0"/>
              <w:right w:val="none" w:color="FFFFFF" w:sz="0"/>
            </w:tcBorders>
            <w:tcMar>
              <w:top w:type="dxa" w:w="80"/>
              <w:left w:type="dxa" w:w="0"/>
              <w:bottom w:type="dxa" w:w="80"/>
              <w:right w:type="dxa" w:w="0"/>
            </w:tcMar>
            <w:vAlign w:val="center"/>
          </w:tcPr>
          <w:tbl>
            <w:tblPr>
              <w:tblW w:type="dxa" w:w="2560"/>
              <w:tblBorders>
                <w:top w:val="single" w:color="auto" w:sz="4"/>
                <w:left w:val="single" w:color="auto" w:sz="4"/>
                <w:bottom w:val="single" w:color="auto" w:sz="4"/>
                <w:right w:val="single" w:color="auto" w:sz="4"/>
                <w:insideH w:val="single" w:color="auto" w:sz="4"/>
                <w:insideV w:val="single" w:color="auto" w:sz="4"/>
              </w:tblBorders>
            </w:tblPr>
            <w:tblGrid>
              <w:gridCol w:w="2560"/>
            </w:tblGrid>
            <w:tr>
              <w:tc>
                <w:tcPr>
                  <w:tcW w:type="dxa" w:w="2560"/>
                  <w:tcBorders>
                    <w:top w:val="none" w:color="FFFFFF" w:sz="0"/>
                    <w:left w:val="none" w:color="FFFFFF" w:sz="0"/>
                    <w:bottom w:val="none" w:color="FFFFFF" w:sz="0"/>
                    <w:right w:val="none" w:color="FFFFFF" w:sz="0"/>
                  </w:tcBorders>
                  <w:shd w:fill="BA751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Complementary</w:t>
                  </w:r>
                </w:p>
              </w:tc>
            </w:tr>
            <w:tr>
              <w:tc>
                <w:tcPr>
                  <w:tcW w:type="dxa" w:w="2560"/>
                  <w:tcBorders>
                    <w:top w:val="none" w:color="FFFFFF" w:sz="0"/>
                    <w:left w:val="none" w:color="FFFFFF" w:sz="0"/>
                    <w:bottom w:val="none" w:color="FFFFFF" w:sz="0"/>
                    <w:right w:val="none" w:color="FFFFFF" w:sz="0"/>
                  </w:tcBorders>
                  <w:shd w:fill="EDF2F7" w:val="clear"/>
                  <w:tcMar>
                    <w:top w:type="dxa" w:w="80"/>
                    <w:left w:type="dxa" w:w="120"/>
                    <w:bottom w:type="dxa" w:w="80"/>
                    <w:right w:type="dxa" w:w="120"/>
                  </w:tcMar>
                </w:tcPr>
                <w:p>
                  <w:pPr>
                    <w:jc w:val="center"/>
                  </w:pPr>
                  <w:r>
                    <w:rPr>
                      <w:rFonts w:ascii="Arial" w:cs="Arial" w:eastAsia="Arial" w:hAnsi="Arial"/>
                      <w:color w:val="2D3748"/>
                      <w:sz w:val="18"/>
                      <w:szCs w:val="18"/>
                    </w:rPr>
                    <w:t xml:space="preserve">8175 + 8177</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8175</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94–97</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8177</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46</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Overlap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Complementary</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Promotion — the direct consumer-facing end of the chain, where product meets buyer</w:t>
            </w:r>
          </w:p>
        </w:tc>
      </w:tr>
    </w:tbl>
    <w:p>
      <w:pPr>
        <w:spacing w:after="0" w:before="120"/>
      </w:pPr>
      <w:r>
        <w:t xml:space="preserve"/>
      </w:r>
    </w:p>
    <w:p>
      <w:pPr>
        <w:pBdr>
          <w:bottom w:val="single" w:color="7B341E" w:sz="4" w:space="2"/>
        </w:pBdr>
        <w:spacing w:after="60" w:before="200"/>
      </w:pPr>
      <w:r>
        <w:rPr>
          <w:rFonts w:ascii="Arial" w:cs="Arial" w:eastAsia="Arial" w:hAnsi="Arial"/>
          <w:b/>
          <w:bCs/>
          <w:color w:val="7B341E"/>
          <w:sz w:val="20"/>
          <w:szCs w:val="20"/>
        </w:rPr>
        <w:t xml:space="preserve">LEARNING OBJECTIVES</w:t>
      </w:r>
    </w:p>
    <w:p>
      <w:pPr>
        <w:spacing w:after="60" w:before="60"/>
        <w:jc w:val="left"/>
      </w:pPr>
      <w:r>
        <w:rPr>
          <w:rFonts w:ascii="Arial" w:cs="Arial" w:eastAsia="Arial" w:hAnsi="Arial"/>
          <w:b/>
          <w:bCs/>
          <w:i w:val="false"/>
          <w:iCs w:val="false"/>
          <w:color w:val="3C3489"/>
          <w:sz w:val="22"/>
          <w:szCs w:val="22"/>
        </w:rPr>
        <w:t xml:space="preserve">8175 Marketing:  </w:t>
      </w:r>
      <w:r>
        <w:rPr>
          <w:rFonts w:ascii="Arial" w:cs="Arial" w:eastAsia="Arial" w:hAnsi="Arial"/>
          <w:b w:val="false"/>
          <w:bCs w:val="false"/>
          <w:i w:val="false"/>
          <w:iCs w:val="false"/>
          <w:color w:val="000000"/>
          <w:sz w:val="22"/>
          <w:szCs w:val="22"/>
        </w:rPr>
        <w:t xml:space="preserve">Students can explain types of selling and their importance, explain product and service bundling, explain the steps of the selling process, and explain on-site merchandising and concessions.</w:t>
      </w:r>
    </w:p>
    <w:p>
      <w:pPr>
        <w:spacing w:after="60" w:before="60"/>
        <w:jc w:val="left"/>
      </w:pPr>
      <w:r>
        <w:rPr>
          <w:rFonts w:ascii="Arial" w:cs="Arial" w:eastAsia="Arial" w:hAnsi="Arial"/>
          <w:b/>
          <w:bCs/>
          <w:i w:val="false"/>
          <w:iCs w:val="false"/>
          <w:color w:val="085041"/>
          <w:sz w:val="22"/>
          <w:szCs w:val="22"/>
        </w:rPr>
        <w:t xml:space="preserve">8177 Management:  </w:t>
      </w:r>
      <w:r>
        <w:rPr>
          <w:rFonts w:ascii="Arial" w:cs="Arial" w:eastAsia="Arial" w:hAnsi="Arial"/>
          <w:b w:val="false"/>
          <w:bCs w:val="false"/>
          <w:i w:val="false"/>
          <w:iCs w:val="false"/>
          <w:color w:val="000000"/>
          <w:sz w:val="22"/>
          <w:szCs w:val="22"/>
        </w:rPr>
        <w:t xml:space="preserve">Students can explain on-site revenue streams as they relate to sports, entertainment, and event facilities.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1" w:val="clear"/>
            <w:tcMar>
              <w:top w:type="dxa" w:w="120"/>
              <w:left w:type="dxa" w:w="160"/>
              <w:bottom w:type="dxa" w:w="120"/>
              <w:right w:type="dxa" w:w="160"/>
            </w:tcMar>
          </w:tcPr>
          <w:p>
            <w:r>
              <w:rPr>
                <w:rFonts w:ascii="Arial" w:cs="Arial" w:eastAsia="Arial" w:hAnsi="Arial"/>
                <w:b/>
                <w:bCs/>
                <w:color w:val="085041"/>
                <w:sz w:val="20"/>
                <w:szCs w:val="20"/>
              </w:rPr>
              <w:t xml:space="preserve">By the end of this unit, you will be able to:</w:t>
            </w:r>
          </w:p>
          <w:p>
            <w:pPr>
              <w:spacing w:before="60"/>
            </w:pPr>
            <w:r>
              <w:rPr>
                <w:rFonts w:ascii="Arial" w:cs="Arial" w:eastAsia="Arial" w:hAnsi="Arial"/>
                <w:i/>
                <w:iCs/>
                <w:sz w:val="20"/>
                <w:szCs w:val="20"/>
              </w:rPr>
              <w:t xml:space="preserve">Execute the sales process and on-site merchandising strategy at the first home esports match — turning event attendance into revenue through a structured approach to selling, bundling, and on-site product placement.</w:t>
            </w:r>
          </w:p>
        </w:tc>
      </w:tr>
    </w:tbl>
    <w:p>
      <w:pPr>
        <w:spacing w:after="0" w:before="120"/>
      </w:pPr>
      <w:r>
        <w:t xml:space="preserve"/>
      </w:r>
    </w:p>
    <w:p>
      <w:pPr>
        <w:pBdr>
          <w:bottom w:val="single" w:color="7B341E" w:sz="4" w:space="2"/>
        </w:pBdr>
        <w:spacing w:after="60" w:before="200"/>
      </w:pPr>
      <w:r>
        <w:rPr>
          <w:rFonts w:ascii="Arial" w:cs="Arial" w:eastAsia="Arial" w:hAnsi="Arial"/>
          <w:b/>
          <w:bCs/>
          <w:color w:val="7B341E"/>
          <w:sz w:val="20"/>
          <w:szCs w:val="20"/>
        </w:rPr>
        <w:t xml:space="preserve">WARM-UP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CE8" w:val="clear"/>
            <w:tcMar>
              <w:top w:type="dxa" w:w="120"/>
              <w:left w:type="dxa" w:w="160"/>
              <w:bottom w:type="dxa" w:w="120"/>
              <w:right w:type="dxa" w:w="160"/>
            </w:tcMar>
          </w:tcPr>
          <w:p>
            <w:pPr>
              <w:spacing w:before="0"/>
            </w:pPr>
            <w:r>
              <w:rPr>
                <w:rFonts w:ascii="Arial" w:cs="Arial" w:eastAsia="Arial" w:hAnsi="Arial"/>
                <w:i/>
                <w:iCs/>
                <w:sz w:val="20"/>
                <w:szCs w:val="20"/>
              </w:rPr>
              <w:t xml:space="preserve">You are running the merchandise table at the first home esports match. You have jerseys ($26), lanyards ($8), and a bundle offer (jersey + lanyard for $30). In the first ten minutes, twelve people walk past without stopping. What do you change — your setup, your approach, your offer, or all three — and how do you decide?</w:t>
            </w:r>
          </w:p>
        </w:tc>
      </w:tr>
    </w:tbl>
    <w:p>
      <w:pPr>
        <w:spacing w:after="0" w:before="120"/>
      </w:pPr>
      <w:r>
        <w:t xml:space="preserve"/>
      </w:r>
    </w:p>
    <w:p>
      <w:pPr>
        <w:spacing w:after="60" w:before="60"/>
        <w:jc w:val="left"/>
      </w:pPr>
      <w:r>
        <w:rPr>
          <w:rFonts w:ascii="Arial" w:cs="Arial" w:eastAsia="Arial" w:hAnsi="Arial"/>
          <w:b/>
          <w:bCs/>
          <w:i w:val="false"/>
          <w:iCs w:val="false"/>
          <w:color w:val="000000"/>
          <w:sz w:val="22"/>
          <w:szCs w:val="22"/>
        </w:rPr>
        <w:t xml:space="preserve">Why this matters:  </w:t>
      </w:r>
      <w:r>
        <w:rPr>
          <w:rFonts w:ascii="Arial" w:cs="Arial" w:eastAsia="Arial" w:hAnsi="Arial"/>
          <w:b w:val="false"/>
          <w:bCs w:val="false"/>
          <w:i/>
          <w:iCs/>
          <w:color w:val="555555"/>
          <w:sz w:val="22"/>
          <w:szCs w:val="22"/>
        </w:rPr>
        <w:t xml:space="preserve">The Sales &amp; Customer Experience rotation is about to run its first event-day operation. Every concept in this unit — the selling process, bundling, on-site merchandising placement — determines how much revenue the first match generates. The merchandise table is a real retail environment with real customers making real decisions. Preparation is the difference between a table that sells and one that doesn't.</w:t>
      </w:r>
    </w:p>
    <w:p>
      <w:pPr>
        <w:spacing w:after="0" w:before="120"/>
      </w:pPr>
      <w:r>
        <w:t xml:space="preserve"/>
      </w:r>
    </w:p>
    <w:p>
      <w:pPr>
        <w:pBdr>
          <w:bottom w:val="single" w:color="7B341E" w:sz="4" w:space="2"/>
        </w:pBdr>
        <w:spacing w:after="60" w:before="200"/>
      </w:pPr>
      <w:r>
        <w:rPr>
          <w:rFonts w:ascii="Arial" w:cs="Arial" w:eastAsia="Arial" w:hAnsi="Arial"/>
          <w:b/>
          <w:bCs/>
          <w:color w:val="7B341E"/>
          <w:sz w:val="20"/>
          <w:szCs w:val="20"/>
        </w:rPr>
        <w:t xml:space="preserve">CORE CONTENT</w:t>
      </w:r>
    </w:p>
    <w:p>
      <w:pPr>
        <w:pStyle w:val="ListParagraph"/>
        <w:numPr>
          <w:ilvl w:val="0"/>
          <w:numId w:val="2"/>
        </w:numPr>
        <w:spacing w:after="40" w:before="40"/>
      </w:pPr>
      <w:r>
        <w:rPr>
          <w:rFonts w:ascii="Arial" w:cs="Arial" w:eastAsia="Arial" w:hAnsi="Arial"/>
          <w:sz w:val="22"/>
          <w:szCs w:val="22"/>
        </w:rPr>
        <w:t xml:space="preserve">Types of selling in sports and entertainment (Task 94): in-person retail (school store), event-day selling (merchandise table), consultative selling (custom order conversations), and upselling/cross-selling (suggesting the bundle when a customer picks up a jersey). Each type requires a different approach and skill set.</w:t>
      </w:r>
    </w:p>
    <w:p>
      <w:pPr>
        <w:pStyle w:val="ListParagraph"/>
        <w:numPr>
          <w:ilvl w:val="0"/>
          <w:numId w:val="2"/>
        </w:numPr>
        <w:spacing w:after="40" w:before="40"/>
      </w:pPr>
      <w:r>
        <w:rPr>
          <w:rFonts w:ascii="Arial" w:cs="Arial" w:eastAsia="Arial" w:hAnsi="Arial"/>
          <w:sz w:val="22"/>
          <w:szCs w:val="22"/>
        </w:rPr>
        <w:t xml:space="preserve">The selling process has seven steps: prospecting (identifying potential customers), pre-approach (preparing before the interaction), approach (the opening), needs assessment (understanding what the customer wants), presentation (showing the product), handling objections (addressing concerns), and closing (completing the sale). All seven happen at the merchandise table — compressed into a two-minute interaction.</w:t>
      </w:r>
    </w:p>
    <w:p>
      <w:pPr>
        <w:pStyle w:val="ListParagraph"/>
        <w:numPr>
          <w:ilvl w:val="0"/>
          <w:numId w:val="2"/>
        </w:numPr>
        <w:spacing w:after="40" w:before="40"/>
      </w:pPr>
      <w:r>
        <w:rPr>
          <w:rFonts w:ascii="Arial" w:cs="Arial" w:eastAsia="Arial" w:hAnsi="Arial"/>
          <w:sz w:val="22"/>
          <w:szCs w:val="22"/>
        </w:rPr>
        <w:t xml:space="preserve">Product and service bundling (Task 95): bundles increase average transaction value by making the combined price feel like a better deal than individual purchases. The jersey + lanyard bundle at $30 vs. $34 separately creates $4 of perceived value. Bundles also move slower-selling SKUs by pairing them with high-demand items.</w:t>
      </w:r>
    </w:p>
    <w:p>
      <w:pPr>
        <w:pStyle w:val="ListParagraph"/>
        <w:numPr>
          <w:ilvl w:val="0"/>
          <w:numId w:val="2"/>
        </w:numPr>
        <w:spacing w:after="40" w:before="40"/>
      </w:pPr>
      <w:r>
        <w:rPr>
          <w:rFonts w:ascii="Arial" w:cs="Arial" w:eastAsia="Arial" w:hAnsi="Arial"/>
          <w:sz w:val="22"/>
          <w:szCs w:val="22"/>
        </w:rPr>
        <w:t xml:space="preserve">On-site merchandising (Task 97): placement, visibility, and accessibility drive impulse purchases at events. The merchandise table should be positioned at the highest-traffic entry point, with best-sellers at eye level, price clearly displayed, and a visual anchor (the jersey on a hanger or a mannequin) that draws attention from a distance. The large format printer produces the signage that makes this work.</w:t>
      </w:r>
    </w:p>
    <w:p>
      <w:pPr>
        <w:pStyle w:val="ListParagraph"/>
        <w:numPr>
          <w:ilvl w:val="0"/>
          <w:numId w:val="2"/>
        </w:numPr>
        <w:spacing w:after="40" w:before="40"/>
      </w:pPr>
      <w:r>
        <w:rPr>
          <w:rFonts w:ascii="Arial" w:cs="Arial" w:eastAsia="Arial" w:hAnsi="Arial"/>
          <w:sz w:val="22"/>
          <w:szCs w:val="22"/>
        </w:rPr>
        <w:t xml:space="preserve">On-site revenue streams (8177 Task 46): merchandise sales are one revenue stream at a live event. Others include ticket sales (if charging entry), food and beverage (if permitted by school policy), and sponsorship activation (if a sponsor has paid for on-site presence). Management students identify and plan for all active revenue streams at the first match — not just merchandise.</w:t>
      </w:r>
    </w:p>
    <w:p>
      <w:pPr>
        <w:pStyle w:val="ListParagraph"/>
        <w:numPr>
          <w:ilvl w:val="0"/>
          <w:numId w:val="2"/>
        </w:numPr>
        <w:spacing w:after="40" w:before="40"/>
      </w:pPr>
      <w:r>
        <w:rPr>
          <w:rFonts w:ascii="Arial" w:cs="Arial" w:eastAsia="Arial" w:hAnsi="Arial"/>
          <w:sz w:val="22"/>
          <w:szCs w:val="22"/>
        </w:rPr>
        <w:t xml:space="preserve">Revenue maximization at events: the first match is a learning environment. Students track every transaction, every customer interaction, and every missed sale. The post-event revenue report is the feedback loop that improves the second match's performance.</w:t>
      </w:r>
    </w:p>
    <w:p>
      <w:pPr>
        <w:spacing w:after="0" w:before="120"/>
      </w:pPr>
      <w:r>
        <w:t xml:space="preserve"/>
      </w:r>
    </w:p>
    <w:p>
      <w:pPr>
        <w:pBdr>
          <w:bottom w:val="single" w:color="7B341E" w:sz="4" w:space="2"/>
        </w:pBdr>
        <w:spacing w:after="60" w:before="200"/>
      </w:pPr>
      <w:r>
        <w:rPr>
          <w:rFonts w:ascii="Arial" w:cs="Arial" w:eastAsia="Arial" w:hAnsi="Arial"/>
          <w:b/>
          <w:bCs/>
          <w:color w:val="7B341E"/>
          <w:sz w:val="20"/>
          <w:szCs w:val="20"/>
        </w:rPr>
        <w:t xml:space="preserve">DIVISION CONTEXT — WHERE THIS LIVES IN THE CONGLOMERATE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Active 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School Store + Sales &amp; Customer Experience rotation (primary) + Events Division + Apparel &amp; Merch Co.</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What students do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Students plan and execute the full on-site sales operation for the first home esports match. Pre-event: merchandise table layout, inventory selection and quantity, signage production, bundle offer finalization, and sales role assignments. Event-day: table setup, active selling throughout the event, transaction tracking. Post-event: revenue reconciliation, unsold inventory return to store, and sales performance report.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Esports connection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The esports match is the sales environment. The team's presence is the draw. Students in Sales &amp; Customer Experience rotation use the team's appeal as a selling context — a jersey isn't just a shirt, it's the official kit of the school's competitive team. The League Manager briefs Sales students on the team's narrative before the event so they can speak to it authentically.</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Connects 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Stage 8 (Synthesis) — event revenue data feeds the financial section of the marketing plan. The sales performance report is a direct input to the budget actuals vs. projected analysis. Stage 9 (Career) — students who can describe their role in executing a live sales operation have a concrete WBL experience for career documentation.</w:t>
            </w:r>
          </w:p>
        </w:tc>
      </w:tr>
    </w:tbl>
    <w:p>
      <w:pPr>
        <w:spacing w:after="0" w:before="120"/>
      </w:pPr>
      <w:r>
        <w:t xml:space="preserve"/>
      </w:r>
    </w:p>
    <w:p>
      <w:pPr>
        <w:pBdr>
          <w:bottom w:val="single" w:color="7B341E" w:sz="4" w:space="2"/>
        </w:pBdr>
        <w:spacing w:after="60" w:before="200"/>
      </w:pPr>
      <w:r>
        <w:rPr>
          <w:rFonts w:ascii="Arial" w:cs="Arial" w:eastAsia="Arial" w:hAnsi="Arial"/>
          <w:b/>
          <w:bCs/>
          <w:color w:val="7B341E"/>
          <w:sz w:val="20"/>
          <w:szCs w:val="20"/>
        </w:rPr>
        <w:t xml:space="preserve">WORK-BASED LEARNING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WBL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Live event sales operation — planning, execution, and post-event reporting</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Work product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Four deliverables: (1) Merchandise table plan — layout diagram, inventory selection and quantities, pricing and bundle display, signage list, and role assignments for event-day. (2) Sales tracking sheet — a simple transaction log completed during the event: item sold, price, bundle or individual, time of sale. (3) Post-event revenue report — total revenue by SKU, bundle performance, busiest selling window, and three specific recommendations for the next event. (4) On-site revenue stream map (8177) — a one-page document identifying all active revenue streams at the first match, projected vs. actual for each, and variance explanation.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8175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Sales &amp; Customer Experience rotation students own the merchandise table operation entirely — planning, setup, staffing, selling, and post-event reporting. This is the capstone assessment for the Sales &amp; Customer Experience rotation. Marketing Advisor rotation students produce the bundle offer analysis — what bundles to offer, at what price, with what projected uptake based on market research data.</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8177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Store Manager manages inventory allocation for the event — how many units of each SKU go to the merchandise table, what stays in the store, and what the reorder trigger is if event sales exceed projections. Events Manager integrates the merchandise table into the overall event layout. General Manager reviews the post-event revenue report and approves the on-site revenue stream map. All 8177 students complete the on-site revenue stream map as their primary assessment for this unit.</w:t>
            </w:r>
          </w:p>
        </w:tc>
      </w:tr>
    </w:tbl>
    <w:p>
      <w:pPr>
        <w:spacing w:after="0" w:before="120"/>
      </w:pPr>
      <w:r>
        <w:t xml:space="preserve"/>
      </w:r>
    </w:p>
    <w:p>
      <w:pPr>
        <w:pBdr>
          <w:bottom w:val="single" w:color="7B341E" w:sz="4" w:space="2"/>
        </w:pBdr>
        <w:spacing w:after="60" w:before="200"/>
      </w:pPr>
      <w:r>
        <w:rPr>
          <w:rFonts w:ascii="Arial" w:cs="Arial" w:eastAsia="Arial" w:hAnsi="Arial"/>
          <w:b/>
          <w:bCs/>
          <w:color w:val="7B341E"/>
          <w:sz w:val="20"/>
          <w:szCs w:val="20"/>
        </w:rPr>
        <w:t xml:space="preserve">EQUIPMENT IN USE</w:t>
      </w:r>
    </w:p>
    <w:p>
      <w:pPr>
        <w:pStyle w:val="ListParagraph"/>
        <w:numPr>
          <w:ilvl w:val="0"/>
          <w:numId w:val="2"/>
        </w:numPr>
        <w:spacing w:after="40" w:before="40"/>
      </w:pPr>
      <w:r>
        <w:rPr>
          <w:rFonts w:ascii="Arial" w:cs="Arial" w:eastAsia="Arial" w:hAnsi="Arial"/>
          <w:sz w:val="22"/>
          <w:szCs w:val="22"/>
        </w:rPr>
        <w:t xml:space="preserve">Large format printer — merchandise table signage: price displays, bundle offer sign, product name cards, 'Official Esports Merchandise' banner for table identification</w:t>
      </w:r>
    </w:p>
    <w:p>
      <w:pPr>
        <w:pStyle w:val="ListParagraph"/>
        <w:numPr>
          <w:ilvl w:val="0"/>
          <w:numId w:val="2"/>
        </w:numPr>
        <w:spacing w:after="40" w:before="40"/>
      </w:pPr>
      <w:r>
        <w:rPr>
          <w:rFonts w:ascii="Arial" w:cs="Arial" w:eastAsia="Arial" w:hAnsi="Arial"/>
          <w:sz w:val="22"/>
          <w:szCs w:val="22"/>
        </w:rPr>
        <w:t xml:space="preserve">Sublimation printer + heat press — any last-minute merchandise production if pre-event inventory falls short of projected demand</w:t>
      </w:r>
    </w:p>
    <w:p>
      <w:pPr>
        <w:pStyle w:val="ListParagraph"/>
        <w:numPr>
          <w:ilvl w:val="0"/>
          <w:numId w:val="2"/>
        </w:numPr>
        <w:spacing w:after="40" w:before="40"/>
      </w:pPr>
      <w:r>
        <w:rPr>
          <w:rFonts w:ascii="Arial" w:cs="Arial" w:eastAsia="Arial" w:hAnsi="Arial"/>
          <w:sz w:val="22"/>
          <w:szCs w:val="22"/>
        </w:rPr>
        <w:t xml:space="preserve">Computers — sales tracking sheet setup (Google Sheets on a tablet or phone if a computer isn't available event-day), post-event revenue report</w:t>
      </w:r>
    </w:p>
    <w:p>
      <w:pPr>
        <w:pStyle w:val="ListParagraph"/>
        <w:numPr>
          <w:ilvl w:val="0"/>
          <w:numId w:val="2"/>
        </w:numPr>
        <w:spacing w:after="40" w:before="40"/>
      </w:pPr>
      <w:r>
        <w:rPr>
          <w:rFonts w:ascii="Arial" w:cs="Arial" w:eastAsia="Arial" w:hAnsi="Arial"/>
          <w:sz w:val="22"/>
          <w:szCs w:val="22"/>
        </w:rPr>
        <w:t xml:space="preserve">Scanner — digitize any hand-written transaction logs from the event if digital tracking wasn't feasible during the event</w:t>
      </w:r>
    </w:p>
    <w:p>
      <w:pPr>
        <w:spacing w:after="0" w:before="120"/>
      </w:pPr>
      <w:r>
        <w:t xml:space="preserve"/>
      </w:r>
    </w:p>
    <w:p>
      <w:pPr>
        <w:pBdr>
          <w:bottom w:val="single" w:color="7B341E" w:sz="4" w:space="2"/>
        </w:pBdr>
        <w:spacing w:after="60" w:before="200"/>
      </w:pPr>
      <w:r>
        <w:rPr>
          <w:rFonts w:ascii="Arial" w:cs="Arial" w:eastAsia="Arial" w:hAnsi="Arial"/>
          <w:b/>
          <w:bCs/>
          <w:color w:val="7B341E"/>
          <w:sz w:val="20"/>
          <w:szCs w:val="20"/>
        </w:rPr>
        <w:t xml:space="preserve">COURSE-SPECIFIC EXTENSION</w:t>
      </w:r>
    </w:p>
    <w:p>
      <w:pPr>
        <w:spacing w:after="60" w:before="60"/>
        <w:jc w:val="left"/>
      </w:pPr>
      <w:r>
        <w:rPr>
          <w:rFonts w:ascii="Arial" w:cs="Arial" w:eastAsia="Arial" w:hAnsi="Arial"/>
          <w:b/>
          <w:bCs/>
          <w:i w:val="false"/>
          <w:iCs w:val="false"/>
          <w:color w:val="3C3489"/>
          <w:sz w:val="22"/>
          <w:szCs w:val="22"/>
        </w:rPr>
        <w:t xml:space="preserve">8175 Marketing goes deeper on:</w:t>
      </w:r>
    </w:p>
    <w:p>
      <w:pPr>
        <w:pStyle w:val="ListParagraph"/>
        <w:numPr>
          <w:ilvl w:val="0"/>
          <w:numId w:val="2"/>
        </w:numPr>
        <w:spacing w:after="40" w:before="40"/>
      </w:pPr>
      <w:r>
        <w:rPr>
          <w:rFonts w:ascii="Arial" w:cs="Arial" w:eastAsia="Arial" w:hAnsi="Arial"/>
          <w:sz w:val="22"/>
          <w:szCs w:val="22"/>
        </w:rPr>
        <w:t xml:space="preserve">Selling process role-play (Task 96): before the event, students practice the seven-step selling process in pairs using the actual merchandise as props. The scenario: a student picks up a jersey, looks at the price tag, and starts to put it back. Walk through the full selling process from that moment. Assessed by a peer using a provided rubric before the event happens.</w:t>
      </w:r>
    </w:p>
    <w:p>
      <w:pPr>
        <w:pStyle w:val="ListParagraph"/>
        <w:numPr>
          <w:ilvl w:val="0"/>
          <w:numId w:val="2"/>
        </w:numPr>
        <w:spacing w:after="40" w:before="40"/>
      </w:pPr>
      <w:r>
        <w:rPr>
          <w:rFonts w:ascii="Arial" w:cs="Arial" w:eastAsia="Arial" w:hAnsi="Arial"/>
          <w:sz w:val="22"/>
          <w:szCs w:val="22"/>
        </w:rPr>
        <w:t xml:space="preserve">On-site merchandising theory to practice (Task 97): students research one professional sports or esports organization's merchandise operation — what do they sell at events, how is the table or kiosk set up, what are the signature bundle offers — and apply one specific finding to their merchandise table plan.</w:t>
      </w:r>
    </w:p>
    <w:p>
      <w:pPr>
        <w:pStyle w:val="ListParagraph"/>
        <w:numPr>
          <w:ilvl w:val="0"/>
          <w:numId w:val="2"/>
        </w:numPr>
        <w:spacing w:after="40" w:before="40"/>
      </w:pPr>
      <w:r>
        <w:rPr>
          <w:rFonts w:ascii="Arial" w:cs="Arial" w:eastAsia="Arial" w:hAnsi="Arial"/>
          <w:sz w:val="22"/>
          <w:szCs w:val="22"/>
        </w:rPr>
        <w:t xml:space="preserve">Objection handling: students identify the three most likely customer objections at the merchandise table ('too expensive,' 'I'll think about it,' 'I don't have cash') and script a response to each that moves toward a sale without pressure. Scripts are incorporated into the pre-event briefing for all Sales rotation students.</w:t>
      </w:r>
    </w:p>
    <w:p>
      <w:pPr>
        <w:spacing w:after="0" w:before="120"/>
      </w:pPr>
      <w:r>
        <w:t xml:space="preserve"/>
      </w:r>
    </w:p>
    <w:p>
      <w:pPr>
        <w:spacing w:after="60" w:before="60"/>
        <w:jc w:val="left"/>
      </w:pPr>
      <w:r>
        <w:rPr>
          <w:rFonts w:ascii="Arial" w:cs="Arial" w:eastAsia="Arial" w:hAnsi="Arial"/>
          <w:b/>
          <w:bCs/>
          <w:i w:val="false"/>
          <w:iCs w:val="false"/>
          <w:color w:val="085041"/>
          <w:sz w:val="22"/>
          <w:szCs w:val="22"/>
        </w:rPr>
        <w:t xml:space="preserve">8177 Management goes deeper on:</w:t>
      </w:r>
    </w:p>
    <w:p>
      <w:pPr>
        <w:pStyle w:val="ListParagraph"/>
        <w:numPr>
          <w:ilvl w:val="0"/>
          <w:numId w:val="2"/>
        </w:numPr>
        <w:spacing w:after="40" w:before="40"/>
      </w:pPr>
      <w:r>
        <w:rPr>
          <w:rFonts w:ascii="Arial" w:cs="Arial" w:eastAsia="Arial" w:hAnsi="Arial"/>
          <w:sz w:val="22"/>
          <w:szCs w:val="22"/>
        </w:rPr>
        <w:t xml:space="preserve">On-site revenue stream analysis (Task 46): management students calculate the revenue potential of each active stream at the first match under three scenarios — low attendance (40 students), target attendance (80 students), and high attendance (120 students). How does revenue scale with attendance, and what is the implication for event production investment?</w:t>
      </w:r>
    </w:p>
    <w:p>
      <w:pPr>
        <w:pStyle w:val="ListParagraph"/>
        <w:numPr>
          <w:ilvl w:val="0"/>
          <w:numId w:val="2"/>
        </w:numPr>
        <w:spacing w:after="40" w:before="40"/>
      </w:pPr>
      <w:r>
        <w:rPr>
          <w:rFonts w:ascii="Arial" w:cs="Arial" w:eastAsia="Arial" w:hAnsi="Arial"/>
          <w:sz w:val="22"/>
          <w:szCs w:val="22"/>
        </w:rPr>
        <w:t xml:space="preserve">Revenue stream diversification: beyond merchandise and tickets, what other revenue streams could the conglomerate activate at future events — food partnerships, sponsor activations, charity auctions, streaming super-chats? Management students identify two realistic additions for the second match and present a one-paragraph implementation brief for each.</w:t>
      </w:r>
    </w:p>
    <w:p>
      <w:pPr>
        <w:pStyle w:val="ListParagraph"/>
        <w:numPr>
          <w:ilvl w:val="0"/>
          <w:numId w:val="2"/>
        </w:numPr>
        <w:spacing w:after="40" w:before="40"/>
      </w:pPr>
      <w:r>
        <w:rPr>
          <w:rFonts w:ascii="Arial" w:cs="Arial" w:eastAsia="Arial" w:hAnsi="Arial"/>
          <w:sz w:val="22"/>
          <w:szCs w:val="22"/>
        </w:rPr>
        <w:t xml:space="preserve">Post-event financial close: Store Manager and General Manager conduct the post-event financial close together — reconciling cash collected against inventory sold, identifying any discrepancies, and updating the budget actuals. This is a real accounting process that management students document and sign off on.</w:t>
      </w:r>
    </w:p>
    <w:p>
      <w:pPr>
        <w:spacing w:after="0" w:before="120"/>
      </w:pPr>
      <w:r>
        <w:t xml:space="preserve"/>
      </w:r>
    </w:p>
    <w:p>
      <w:pPr>
        <w:pBdr>
          <w:bottom w:val="single" w:color="7B341E" w:sz="4" w:space="2"/>
        </w:pBdr>
        <w:spacing w:after="60" w:before="200"/>
      </w:pPr>
      <w:r>
        <w:rPr>
          <w:rFonts w:ascii="Arial" w:cs="Arial" w:eastAsia="Arial" w:hAnsi="Arial"/>
          <w:b/>
          <w:bCs/>
          <w:color w:val="7B341E"/>
          <w:sz w:val="20"/>
          <w:szCs w:val="20"/>
        </w:rP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Selling process</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seven-step sequence of a professional sales interaction: prospecting, pre-approach, approach, needs assessment, presentation, objection handling, and closing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Upselling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Encouraging a customer to purchase a higher-value item or add-on — suggesting the bundle when a customer picks up a single jersey</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Bundling</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Combining two or more products or services at a package price that creates perceived value over individual purchase — increases average transaction value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On-site merchandising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strategic placement, display, and selling of products at a live event — location, visibility, signage, and accessibility all drive impulse purchase behavior</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Revenue stream</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distinct source of income at an event — merchandise, tickets, sponsorship activation, and food service are separate revenue streams, each requiring separate tracking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Average transaction value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Total revenue divided by number of transactions — bundles and upselling increase this metric without requiring more customers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Post-event reconciliation</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accounting process of matching cash collected to inventory sold, identifying discrepancies, and updating the financial record — completed by Store Manager and General Manager after every event</w:t>
            </w:r>
          </w:p>
        </w:tc>
      </w:tr>
    </w:tbl>
    <w:p>
      <w:pPr>
        <w:spacing w:after="0" w:before="120"/>
      </w:pPr>
      <w:r>
        <w:t xml:space="preserve"/>
      </w:r>
    </w:p>
    <w:p>
      <w:pPr>
        <w:pBdr>
          <w:bottom w:val="single" w:color="7B341E" w:sz="4" w:space="2"/>
        </w:pBdr>
        <w:spacing w:after="60" w:before="200"/>
      </w:pPr>
      <w:r>
        <w:rPr>
          <w:rFonts w:ascii="Arial" w:cs="Arial" w:eastAsia="Arial" w:hAnsi="Arial"/>
          <w:b/>
          <w:bCs/>
          <w:color w:val="7B341E"/>
          <w:sz w:val="20"/>
          <w:szCs w:val="20"/>
        </w:rPr>
        <w:t xml:space="preserve">COMPETENCY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600"/>
        <w:gridCol w:w="600"/>
        <w:gridCol w:w="600"/>
      </w:tblGrid>
      <w:tr>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Task</w:t>
            </w:r>
          </w:p>
        </w:tc>
        <w:tc>
          <w:tcPr>
            <w:tcW w:type="dxa" w:w="596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Competency</w:t>
            </w:r>
          </w:p>
        </w:tc>
        <w:tc>
          <w:tcPr>
            <w:tcW w:type="dxa" w:w="1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Course</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Req.</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SCR</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94</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the types of selling and why they are important in the sports, entertainment, and event industries.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95</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Explain the concept of bundling products and/or services.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96</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the steps of the selling process.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97</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Explain on-site merchandising and concessions as they relate to sports, entertainment, and event facilities.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46</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on-site revenue streams as they relate to sports, entertainment, and event facilities.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bl>
    <w:p>
      <w:pPr>
        <w:spacing w:after="0" w:before="12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2026-06-14T16:32:00.605Z</dcterms:created>
  <dcterms:modified xsi:type="dcterms:W3CDTF">2026-06-14T16:32:00.605Z</dcterms:modified>
</cp:coreProperties>
</file>

<file path=docProps/custom.xml><?xml version="1.0" encoding="utf-8"?>
<Properties xmlns="http://schemas.openxmlformats.org/officeDocument/2006/custom-properties" xmlns:vt="http://schemas.openxmlformats.org/officeDocument/2006/docPropsVTypes"/>
</file>