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D3557" w:val="clear"/>
            <w:tcMar>
              <w:top w:type="dxa" w:w="120"/>
              <w:left w:type="dxa" w:w="160"/>
              <w:bottom w:type="dxa" w:w="120"/>
              <w:right w:type="dxa" w:w="160"/>
            </w:tcMar>
          </w:tcPr>
          <w:p>
            <w:r>
              <w:rPr>
                <w:rFonts w:ascii="Arial" w:cs="Arial" w:eastAsia="Arial" w:hAnsi="Arial"/>
                <w:b/>
                <w:bCs/>
                <w:color w:val="FFFFFF"/>
                <w:sz w:val="24"/>
                <w:szCs w:val="24"/>
              </w:rPr>
              <w:t xml:space="preserve">SPORTS, ENTERTAINMENT &amp; EVENT MARKETING / MANAGEMENT</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4337A" w:val="clear"/>
            <w:tcMar>
              <w:top w:type="dxa" w:w="120"/>
              <w:left w:type="dxa" w:w="160"/>
              <w:bottom w:type="dxa" w:w="120"/>
              <w:right w:type="dxa" w:w="160"/>
            </w:tcMar>
          </w:tcPr>
          <w:p>
            <w:r>
              <w:rPr>
                <w:rFonts w:ascii="Arial" w:cs="Arial" w:eastAsia="Arial" w:hAnsi="Arial"/>
                <w:b/>
                <w:bCs/>
                <w:color w:val="FFFFFF"/>
                <w:sz w:val="24"/>
                <w:szCs w:val="24"/>
              </w:rPr>
              <w:t xml:space="preserve">LESSON CARDS — STAGE 8: STRATEGY / SYNTHESIS</w:t>
            </w:r>
          </w:p>
        </w:tc>
      </w:tr>
    </w:tbl>
    <w:p>
      <w:pPr>
        <w:spacing w:after="0" w:before="120"/>
      </w:pPr>
      <w:r>
        <w:t xml:space="preserve"/>
      </w:r>
    </w:p>
    <w:p>
      <w:pPr>
        <w:spacing w:after="60" w:before="60"/>
        <w:jc w:val="left"/>
      </w:pPr>
      <w:r>
        <w:rPr>
          <w:rFonts w:ascii="Arial" w:cs="Arial" w:eastAsia="Arial" w:hAnsi="Arial"/>
          <w:b w:val="false"/>
          <w:bCs w:val="false"/>
          <w:i/>
          <w:iCs/>
          <w:color w:val="555555"/>
          <w:sz w:val="24"/>
          <w:szCs w:val="24"/>
        </w:rPr>
        <w:t xml:space="preserve">The entire supply chain running simultaneously — in a document and in a live event.</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color w:val="2D3748"/>
                <w:sz w:val="20"/>
                <w:szCs w:val="20"/>
              </w:rPr>
              <w:t xml:space="preserve">Distribution chain node</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Strategy / Synthesis — the marketing plan integrates all prior stages; the live event executes all of them at once</w:t>
            </w:r>
          </w:p>
        </w:tc>
      </w:tr>
      <w:tr>
        <w:tc>
          <w:tcPr>
            <w:tcW w:type="dxa" w:w="20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color w:val="2D3748"/>
                <w:sz w:val="20"/>
                <w:szCs w:val="20"/>
              </w:rPr>
              <w:t xml:space="preserve">Courses covered</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8175 Sports, Entertainment &amp; Event Marketing  |  8177 Sports, Entertainment &amp; Event Management</w:t>
            </w:r>
          </w:p>
        </w:tc>
      </w:tr>
      <w:tr>
        <w:tc>
          <w:tcPr>
            <w:tcW w:type="dxa" w:w="20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color w:val="2D3748"/>
                <w:sz w:val="20"/>
                <w:szCs w:val="20"/>
              </w:rPr>
              <w:t xml:space="preserve">Lesson units</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2 units: Marketing Plan &amp; Strategy · Event Planning &amp; Management</w:t>
            </w:r>
          </w:p>
        </w:tc>
      </w:tr>
      <w:tr>
        <w:tc>
          <w:tcPr>
            <w:tcW w:type="dxa" w:w="20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color w:val="2D3748"/>
                <w:sz w:val="20"/>
                <w:szCs w:val="20"/>
              </w:rPr>
              <w:t xml:space="preserve">Prerequisite</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Stage 7 complete — first home match promoted and executed, campaign results documented, revenue reconciled</w:t>
            </w:r>
          </w:p>
        </w:tc>
      </w:tr>
      <w:tr>
        <w:tc>
          <w:tcPr>
            <w:tcW w:type="dxa" w:w="20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color w:val="2D3748"/>
                <w:sz w:val="20"/>
                <w:szCs w:val="20"/>
              </w:rPr>
              <w:t xml:space="preserve">Conglomerate milestone</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By end of Stage 8: full marketing plan submitted to administration, second home match planned and executed, season-end evaluation complete, year-two strategic priorities drafted</w:t>
            </w:r>
          </w:p>
        </w:tc>
      </w:tr>
    </w:tbl>
    <w:p>
      <w:pPr>
        <w:spacing w:after="0" w:before="120"/>
      </w:pPr>
      <w:r>
        <w:t xml:space="preserve"/>
      </w:r>
    </w:p>
    <w:p>
      <w:pPr>
        <w:spacing w:after="60" w:before="60"/>
        <w:jc w:val="left"/>
      </w:pPr>
      <w:r>
        <w:rPr>
          <w:rFonts w:ascii="Arial" w:cs="Arial" w:eastAsia="Arial" w:hAnsi="Arial"/>
          <w:b w:val="false"/>
          <w:bCs w:val="false"/>
          <w:i/>
          <w:iCs/>
          <w:color w:val="444444"/>
          <w:sz w:val="22"/>
          <w:szCs w:val="22"/>
        </w:rPr>
        <w:t xml:space="preserve">Stage 8 is where the program becomes legible to people outside it. The marketing plan translates a year of operational work into a document that administrators, parents, and future students can read and understand. The event planning cycle translates the same work into a repeated, improving live operation. Both deliverables answer the same question from different directions: what did this program do, why did it work, and how does it get better? The warm-up for Card 2 deliberately starts from the first match's data rather than from theory — because by Stage 8, students have real numbers to work with.</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4337A" w:val="clear"/>
            <w:tcMar>
              <w:top w:type="dxa" w:w="120"/>
              <w:left w:type="dxa" w:w="160"/>
              <w:bottom w:type="dxa" w:w="120"/>
              <w:right w:type="dxa" w:w="160"/>
            </w:tcMar>
          </w:tcPr>
          <w:p>
            <w:r>
              <w:rPr>
                <w:rFonts w:ascii="Arial" w:cs="Arial" w:eastAsia="Arial" w:hAnsi="Arial"/>
                <w:b/>
                <w:bCs/>
                <w:color w:val="FFFFFF"/>
                <w:sz w:val="24"/>
                <w:szCs w:val="24"/>
              </w:rPr>
              <w:t xml:space="preserve">STAGE 8  ·  STRATEGY / SYNTHESIS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0"/>
        <w:gridCol w:w="2560"/>
      </w:tblGrid>
      <w:tr>
        <w:tc>
          <w:tcPr>
            <w:tcW w:type="dxa" w:w="6800"/>
            <w:tcBorders>
              <w:top w:val="none" w:color="FFFFFF" w:sz="0"/>
              <w:left w:val="none" w:color="FFFFFF" w:sz="0"/>
              <w:bottom w:val="none" w:color="FFFFFF" w:sz="0"/>
              <w:right w:val="none" w:color="FFFFFF" w:sz="0"/>
            </w:tcBorders>
            <w:tcMar>
              <w:top w:type="dxa" w:w="80"/>
              <w:left w:type="dxa" w:w="0"/>
              <w:bottom w:type="dxa" w:w="80"/>
              <w:right w:type="dxa" w:w="160"/>
            </w:tcMar>
            <w:vAlign w:val="center"/>
          </w:tcPr>
          <w:p>
            <w:r>
              <w:rPr>
                <w:rFonts w:ascii="Arial" w:cs="Arial" w:eastAsia="Arial" w:hAnsi="Arial"/>
                <w:b/>
                <w:bCs/>
                <w:color w:val="1D3557"/>
                <w:sz w:val="30"/>
                <w:szCs w:val="30"/>
              </w:rPr>
              <w:t xml:space="preserve">Marketing Plan &amp; Strategy</w:t>
            </w:r>
          </w:p>
        </w:tc>
        <w:tc>
          <w:tcPr>
            <w:tcW w:type="dxa" w:w="2560"/>
            <w:tcBorders>
              <w:top w:val="none" w:color="FFFFFF" w:sz="0"/>
              <w:left w:val="none" w:color="FFFFFF" w:sz="0"/>
              <w:bottom w:val="none" w:color="FFFFFF" w:sz="0"/>
              <w:right w:val="none" w:color="FFFFFF" w:sz="0"/>
            </w:tcBorders>
            <w:tcMar>
              <w:top w:type="dxa" w:w="80"/>
              <w:left w:type="dxa" w:w="0"/>
              <w:bottom w:type="dxa" w:w="80"/>
              <w:right w:type="dxa" w:w="0"/>
            </w:tcMar>
            <w:vAlign w:val="center"/>
          </w:tcPr>
          <w:tbl>
            <w:tblPr>
              <w:tblW w:type="dxa" w:w="2560"/>
              <w:tblBorders>
                <w:top w:val="single" w:color="auto" w:sz="4"/>
                <w:left w:val="single" w:color="auto" w:sz="4"/>
                <w:bottom w:val="single" w:color="auto" w:sz="4"/>
                <w:right w:val="single" w:color="auto" w:sz="4"/>
                <w:insideH w:val="single" w:color="auto" w:sz="4"/>
                <w:insideV w:val="single" w:color="auto" w:sz="4"/>
              </w:tblBorders>
            </w:tblPr>
            <w:tblGrid>
              <w:gridCol w:w="2560"/>
            </w:tblGrid>
            <w:tr>
              <w:tc>
                <w:tcPr>
                  <w:tcW w:type="dxa" w:w="2560"/>
                  <w:tcBorders>
                    <w:top w:val="none" w:color="FFFFFF" w:sz="0"/>
                    <w:left w:val="none" w:color="FFFFFF" w:sz="0"/>
                    <w:bottom w:val="none" w:color="FFFFFF" w:sz="0"/>
                    <w:right w:val="none" w:color="FFFFFF" w:sz="0"/>
                  </w:tcBorders>
                  <w:shd w:fill="534AB7"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Parallel</w:t>
                  </w:r>
                </w:p>
              </w:tc>
            </w:tr>
            <w:tr>
              <w:tc>
                <w:tcPr>
                  <w:tcW w:type="dxa" w:w="2560"/>
                  <w:tcBorders>
                    <w:top w:val="none" w:color="FFFFFF" w:sz="0"/>
                    <w:left w:val="none" w:color="FFFFFF" w:sz="0"/>
                    <w:bottom w:val="none" w:color="FFFFFF" w:sz="0"/>
                    <w:right w:val="none" w:color="FFFFFF" w:sz="0"/>
                  </w:tcBorders>
                  <w:shd w:fill="EDF2F7" w:val="clear"/>
                  <w:tcMar>
                    <w:top w:type="dxa" w:w="80"/>
                    <w:left w:type="dxa" w:w="120"/>
                    <w:bottom w:type="dxa" w:w="80"/>
                    <w:right w:type="dxa" w:w="120"/>
                  </w:tcMar>
                </w:tcPr>
                <w:p>
                  <w:pPr>
                    <w:jc w:val="center"/>
                  </w:pPr>
                  <w:r>
                    <w:rPr>
                      <w:rFonts w:ascii="Arial" w:cs="Arial" w:eastAsia="Arial" w:hAnsi="Arial"/>
                      <w:color w:val="2D3748"/>
                      <w:sz w:val="18"/>
                      <w:szCs w:val="18"/>
                    </w:rPr>
                    <w:t xml:space="preserve">8175 + 8177</w:t>
                  </w:r>
                </w:p>
              </w:tc>
            </w:tr>
          </w:tbl>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color w:val="2D3748"/>
                <w:sz w:val="20"/>
                <w:szCs w:val="20"/>
              </w:rPr>
              <w:t xml:space="preserve">Tasks — 8175</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102–105</w:t>
            </w:r>
          </w:p>
        </w:tc>
      </w:tr>
      <w:tr>
        <w:tc>
          <w:tcPr>
            <w:tcW w:type="dxa" w:w="20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color w:val="2D3748"/>
                <w:sz w:val="20"/>
                <w:szCs w:val="20"/>
              </w:rPr>
              <w:t xml:space="preserve">Tasks — 8177</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97</w:t>
            </w:r>
          </w:p>
        </w:tc>
      </w:tr>
      <w:tr>
        <w:tc>
          <w:tcPr>
            <w:tcW w:type="dxa" w:w="20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color w:val="2D3748"/>
                <w:sz w:val="20"/>
                <w:szCs w:val="20"/>
              </w:rPr>
              <w:t xml:space="preserve">Overlap type</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Parallel</w:t>
            </w:r>
          </w:p>
        </w:tc>
      </w:tr>
      <w:tr>
        <w:tc>
          <w:tcPr>
            <w:tcW w:type="dxa" w:w="20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color w:val="2D3748"/>
                <w:sz w:val="20"/>
                <w:szCs w:val="20"/>
              </w:rPr>
              <w:t xml:space="preserve">Chain node</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Strategy / Synthesis — the marketing plan integrates every prior stage into one coherent document</w:t>
            </w:r>
          </w:p>
        </w:tc>
      </w:tr>
    </w:tbl>
    <w:p>
      <w:pPr>
        <w:spacing w:after="0" w:before="120"/>
      </w:pPr>
      <w:r>
        <w:t xml:space="preserve"/>
      </w:r>
    </w:p>
    <w:p>
      <w:pPr>
        <w:pBdr>
          <w:bottom w:val="single" w:color="44337A" w:sz="4" w:space="2"/>
        </w:pBdr>
        <w:spacing w:after="60" w:before="200"/>
      </w:pPr>
      <w:r>
        <w:rPr>
          <w:rFonts w:ascii="Arial" w:cs="Arial" w:eastAsia="Arial" w:hAnsi="Arial"/>
          <w:b/>
          <w:bCs/>
          <w:color w:val="44337A"/>
          <w:sz w:val="20"/>
          <w:szCs w:val="20"/>
        </w:rPr>
        <w:t xml:space="preserve">LEARNING OBJECTIVES</w:t>
      </w:r>
    </w:p>
    <w:p>
      <w:pPr>
        <w:spacing w:after="60" w:before="60"/>
        <w:jc w:val="left"/>
      </w:pPr>
      <w:r>
        <w:rPr>
          <w:rFonts w:ascii="Arial" w:cs="Arial" w:eastAsia="Arial" w:hAnsi="Arial"/>
          <w:b/>
          <w:bCs/>
          <w:i w:val="false"/>
          <w:iCs w:val="false"/>
          <w:color w:val="3C3489"/>
          <w:sz w:val="22"/>
          <w:szCs w:val="22"/>
        </w:rPr>
        <w:t xml:space="preserve">8175 Marketing:  </w:t>
      </w:r>
      <w:r>
        <w:rPr>
          <w:rFonts w:ascii="Arial" w:cs="Arial" w:eastAsia="Arial" w:hAnsi="Arial"/>
          <w:b w:val="false"/>
          <w:bCs w:val="false"/>
          <w:i w:val="false"/>
          <w:iCs w:val="false"/>
          <w:color w:val="000000"/>
          <w:sz w:val="22"/>
          <w:szCs w:val="22"/>
        </w:rPr>
        <w:t xml:space="preserve">Students can explain marketing plan components, describe the importance of research in plan development, describe how to analyze ROI, and identify SWOT analysis components.</w:t>
      </w:r>
    </w:p>
    <w:p>
      <w:pPr>
        <w:spacing w:after="60" w:before="60"/>
        <w:jc w:val="left"/>
      </w:pPr>
      <w:r>
        <w:rPr>
          <w:rFonts w:ascii="Arial" w:cs="Arial" w:eastAsia="Arial" w:hAnsi="Arial"/>
          <w:b/>
          <w:bCs/>
          <w:i w:val="false"/>
          <w:iCs w:val="false"/>
          <w:color w:val="085041"/>
          <w:sz w:val="22"/>
          <w:szCs w:val="22"/>
        </w:rPr>
        <w:t xml:space="preserve">8177 Management:  </w:t>
      </w:r>
      <w:r>
        <w:rPr>
          <w:rFonts w:ascii="Arial" w:cs="Arial" w:eastAsia="Arial" w:hAnsi="Arial"/>
          <w:b w:val="false"/>
          <w:bCs w:val="false"/>
          <w:i w:val="false"/>
          <w:iCs w:val="false"/>
          <w:color w:val="000000"/>
          <w:sz w:val="22"/>
          <w:szCs w:val="22"/>
        </w:rPr>
        <w:t xml:space="preserve">Students can develop a marketing plan for an event — applying the full planning framework to a real event in the conglomerate's calendar.</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8F1" w:val="clear"/>
            <w:tcMar>
              <w:top w:type="dxa" w:w="120"/>
              <w:left w:type="dxa" w:w="160"/>
              <w:bottom w:type="dxa" w:w="120"/>
              <w:right w:type="dxa" w:w="160"/>
            </w:tcMar>
          </w:tcPr>
          <w:p>
            <w:r>
              <w:rPr>
                <w:rFonts w:ascii="Arial" w:cs="Arial" w:eastAsia="Arial" w:hAnsi="Arial"/>
                <w:b/>
                <w:bCs/>
                <w:color w:val="085041"/>
                <w:sz w:val="20"/>
                <w:szCs w:val="20"/>
              </w:rPr>
              <w:t xml:space="preserve">By the end of this unit, you will be able to:</w:t>
            </w:r>
          </w:p>
          <w:p>
            <w:pPr>
              <w:spacing w:before="60"/>
            </w:pPr>
            <w:r>
              <w:rPr>
                <w:rFonts w:ascii="Arial" w:cs="Arial" w:eastAsia="Arial" w:hAnsi="Arial"/>
                <w:i/>
                <w:iCs/>
                <w:sz w:val="20"/>
                <w:szCs w:val="20"/>
              </w:rPr>
              <w:t xml:space="preserve">Assemble the conglomerate's full marketing plan — drawing on every deliverable from Stage 1 through Stage 7 — and evaluate its performance against defined return on investment targets.</w:t>
            </w:r>
          </w:p>
        </w:tc>
      </w:tr>
    </w:tbl>
    <w:p>
      <w:pPr>
        <w:spacing w:after="0" w:before="120"/>
      </w:pPr>
      <w:r>
        <w:t xml:space="preserve"/>
      </w:r>
    </w:p>
    <w:p>
      <w:pPr>
        <w:pBdr>
          <w:bottom w:val="single" w:color="44337A" w:sz="4" w:space="2"/>
        </w:pBdr>
        <w:spacing w:after="60" w:before="200"/>
      </w:pPr>
      <w:r>
        <w:rPr>
          <w:rFonts w:ascii="Arial" w:cs="Arial" w:eastAsia="Arial" w:hAnsi="Arial"/>
          <w:b/>
          <w:bCs/>
          <w:color w:val="44337A"/>
          <w:sz w:val="20"/>
          <w:szCs w:val="20"/>
        </w:rPr>
        <w:t xml:space="preserve">WARM-UP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CE8" w:val="clear"/>
            <w:tcMar>
              <w:top w:type="dxa" w:w="120"/>
              <w:left w:type="dxa" w:w="160"/>
              <w:bottom w:type="dxa" w:w="120"/>
              <w:right w:type="dxa" w:w="160"/>
            </w:tcMar>
          </w:tcPr>
          <w:p>
            <w:pPr>
              <w:spacing w:before="0"/>
            </w:pPr>
            <w:r>
              <w:rPr>
                <w:rFonts w:ascii="Arial" w:cs="Arial" w:eastAsia="Arial" w:hAnsi="Arial"/>
                <w:i/>
                <w:iCs/>
                <w:sz w:val="20"/>
                <w:szCs w:val="20"/>
              </w:rPr>
              <w:t xml:space="preserve">Every document you've produced this year is a section of the marketing plan. The industry map is the situation analysis. The market research is the market analysis. The pricing worksheet is the pricing strategy. The campaign brief is the promotional plan. The budget is the financial section. What's missing — and what does having all of it assembled in one place tell you that you couldn't see when it was scattered across separate documents?</w:t>
            </w:r>
          </w:p>
        </w:tc>
      </w:tr>
    </w:tbl>
    <w:p>
      <w:pPr>
        <w:spacing w:after="0" w:before="120"/>
      </w:pPr>
      <w:r>
        <w:t xml:space="preserve"/>
      </w:r>
    </w:p>
    <w:p>
      <w:pPr>
        <w:spacing w:after="60" w:before="60"/>
        <w:jc w:val="left"/>
      </w:pPr>
      <w:r>
        <w:rPr>
          <w:rFonts w:ascii="Arial" w:cs="Arial" w:eastAsia="Arial" w:hAnsi="Arial"/>
          <w:b/>
          <w:bCs/>
          <w:i w:val="false"/>
          <w:iCs w:val="false"/>
          <w:color w:val="000000"/>
          <w:sz w:val="22"/>
          <w:szCs w:val="22"/>
        </w:rPr>
        <w:t xml:space="preserve">Why this matters:  </w:t>
      </w:r>
      <w:r>
        <w:rPr>
          <w:rFonts w:ascii="Arial" w:cs="Arial" w:eastAsia="Arial" w:hAnsi="Arial"/>
          <w:b w:val="false"/>
          <w:bCs w:val="false"/>
          <w:i/>
          <w:iCs/>
          <w:color w:val="555555"/>
          <w:sz w:val="22"/>
          <w:szCs w:val="22"/>
        </w:rPr>
        <w:t xml:space="preserve">The marketing plan is the administrator artifact that demonstrates everything this program does. It is also the most transferable professional document a student can produce — every marketing role in sports, entertainment, and events requires plan-level thinking. This unit assembles what has already been built rather than building from scratch, which means the quality of the plan reflects the quality of the year's work.</w:t>
      </w:r>
    </w:p>
    <w:p>
      <w:pPr>
        <w:spacing w:after="0" w:before="120"/>
      </w:pPr>
      <w:r>
        <w:t xml:space="preserve"/>
      </w:r>
    </w:p>
    <w:p>
      <w:pPr>
        <w:pBdr>
          <w:bottom w:val="single" w:color="44337A" w:sz="4" w:space="2"/>
        </w:pBdr>
        <w:spacing w:after="60" w:before="200"/>
      </w:pPr>
      <w:r>
        <w:rPr>
          <w:rFonts w:ascii="Arial" w:cs="Arial" w:eastAsia="Arial" w:hAnsi="Arial"/>
          <w:b/>
          <w:bCs/>
          <w:color w:val="44337A"/>
          <w:sz w:val="20"/>
          <w:szCs w:val="20"/>
        </w:rPr>
        <w:t xml:space="preserve">CORE CONTENT</w:t>
      </w:r>
    </w:p>
    <w:p>
      <w:pPr>
        <w:pStyle w:val="ListParagraph"/>
        <w:numPr>
          <w:ilvl w:val="0"/>
          <w:numId w:val="2"/>
        </w:numPr>
        <w:spacing w:after="40" w:before="40"/>
      </w:pPr>
      <w:r>
        <w:rPr>
          <w:rFonts w:ascii="Arial" w:cs="Arial" w:eastAsia="Arial" w:hAnsi="Arial"/>
          <w:sz w:val="22"/>
          <w:szCs w:val="22"/>
        </w:rPr>
        <w:t xml:space="preserve">A marketing plan has seven standard components: executive summary, situation analysis (industry overview + SWOT), market analysis (research findings + segmentation), marketing objectives (specific, measurable, time-bound), marketing strategies (product, price, place, promotion decisions), implementation timeline, and financial projections with ROI analysis.</w:t>
      </w:r>
    </w:p>
    <w:p>
      <w:pPr>
        <w:pStyle w:val="ListParagraph"/>
        <w:numPr>
          <w:ilvl w:val="0"/>
          <w:numId w:val="2"/>
        </w:numPr>
        <w:spacing w:after="40" w:before="40"/>
      </w:pPr>
      <w:r>
        <w:rPr>
          <w:rFonts w:ascii="Arial" w:cs="Arial" w:eastAsia="Arial" w:hAnsi="Arial"/>
          <w:sz w:val="22"/>
          <w:szCs w:val="22"/>
        </w:rPr>
        <w:t xml:space="preserve">Every component has a source document from a prior stage. The situation analysis draws from Stage 1 (industry overview) and the SWOT below. The market analysis draws from Stage 3 (economics + research). The strategies section draws from Stages 2–7. The financial section draws from Stage 4 (budget). Students are assembling, not inventing.</w:t>
      </w:r>
    </w:p>
    <w:p>
      <w:pPr>
        <w:pStyle w:val="ListParagraph"/>
        <w:numPr>
          <w:ilvl w:val="0"/>
          <w:numId w:val="2"/>
        </w:numPr>
        <w:spacing w:after="40" w:before="40"/>
      </w:pPr>
      <w:r>
        <w:rPr>
          <w:rFonts w:ascii="Arial" w:cs="Arial" w:eastAsia="Arial" w:hAnsi="Arial"/>
          <w:sz w:val="22"/>
          <w:szCs w:val="22"/>
        </w:rPr>
        <w:t xml:space="preserve">SWOT analysis (Task 105) is the bridge between the situation analysis and the strategy sections. Strengths and weaknesses are internal — the conglomerate controls them. Opportunities and threats are external — the conglomerate responds to them. Strategy emerges from the intersection: how do we use strengths to capture opportunities? How do we shore up weaknesses before threats exploit them?</w:t>
      </w:r>
    </w:p>
    <w:p>
      <w:pPr>
        <w:pStyle w:val="ListParagraph"/>
        <w:numPr>
          <w:ilvl w:val="0"/>
          <w:numId w:val="2"/>
        </w:numPr>
        <w:spacing w:after="40" w:before="40"/>
      </w:pPr>
      <w:r>
        <w:rPr>
          <w:rFonts w:ascii="Arial" w:cs="Arial" w:eastAsia="Arial" w:hAnsi="Arial"/>
          <w:sz w:val="22"/>
          <w:szCs w:val="22"/>
        </w:rPr>
        <w:t xml:space="preserve">Research in the marketing plan (Task 103): the plan's credibility depends on the quality of the evidence behind its claims. Every strategic recommendation in the plan references a specific data source — the survey, the economic brief, the competitive analysis. Unsupported claims are flagged and revised.</w:t>
      </w:r>
    </w:p>
    <w:p>
      <w:pPr>
        <w:pStyle w:val="ListParagraph"/>
        <w:numPr>
          <w:ilvl w:val="0"/>
          <w:numId w:val="2"/>
        </w:numPr>
        <w:spacing w:after="40" w:before="40"/>
      </w:pPr>
      <w:r>
        <w:rPr>
          <w:rFonts w:ascii="Arial" w:cs="Arial" w:eastAsia="Arial" w:hAnsi="Arial"/>
          <w:sz w:val="22"/>
          <w:szCs w:val="22"/>
        </w:rPr>
        <w:t xml:space="preserve">ROI analysis (Task 104): return on investment measures whether the marketing spend generated proportionate value. For the conglomerate, ROI has multiple dimensions — financial (did the first match generate more revenue than it cost to produce?), audience (did attendance grow from match one to match two?), and brand (did the school community's awareness of the program increase?). All three are documented.</w:t>
      </w:r>
    </w:p>
    <w:p>
      <w:pPr>
        <w:pStyle w:val="ListParagraph"/>
        <w:numPr>
          <w:ilvl w:val="0"/>
          <w:numId w:val="2"/>
        </w:numPr>
        <w:spacing w:after="40" w:before="40"/>
      </w:pPr>
      <w:r>
        <w:rPr>
          <w:rFonts w:ascii="Arial" w:cs="Arial" w:eastAsia="Arial" w:hAnsi="Arial"/>
          <w:sz w:val="22"/>
          <w:szCs w:val="22"/>
        </w:rPr>
        <w:t xml:space="preserve">8177 event marketing plan (Task 97): the management course produces a marketing plan specifically for the second home esports match — applying every component of the framework to a real upcoming event. This plan is operational, not academic — the Events Manager uses it to run the event.</w:t>
      </w:r>
    </w:p>
    <w:p>
      <w:pPr>
        <w:spacing w:after="0" w:before="120"/>
      </w:pPr>
      <w:r>
        <w:t xml:space="preserve"/>
      </w:r>
    </w:p>
    <w:p>
      <w:pPr>
        <w:pBdr>
          <w:bottom w:val="single" w:color="44337A" w:sz="4" w:space="2"/>
        </w:pBdr>
        <w:spacing w:after="60" w:before="200"/>
      </w:pPr>
      <w:r>
        <w:rPr>
          <w:rFonts w:ascii="Arial" w:cs="Arial" w:eastAsia="Arial" w:hAnsi="Arial"/>
          <w:b/>
          <w:bCs/>
          <w:color w:val="44337A"/>
          <w:sz w:val="20"/>
          <w:szCs w:val="20"/>
        </w:rPr>
        <w:t xml:space="preserve">SWOT ANALYSIS TEMPLATE — COMPLETE FOR THE CONGLOMERATE</w:t>
      </w:r>
    </w:p>
    <w:p>
      <w:pPr>
        <w:spacing w:after="60" w:before="60"/>
        <w:jc w:val="left"/>
      </w:pPr>
      <w:r>
        <w:rPr>
          <w:rFonts w:ascii="Arial" w:cs="Arial" w:eastAsia="Arial" w:hAnsi="Arial"/>
          <w:b w:val="false"/>
          <w:bCs w:val="false"/>
          <w:i/>
          <w:iCs/>
          <w:color w:val="555555"/>
          <w:sz w:val="22"/>
          <w:szCs w:val="22"/>
        </w:rPr>
        <w:t xml:space="preserve">Use findings from Stage 1 (industry), Stage 3 (research), Stage 4 (financial), and Stage 6 (digital audit) to populate each quadrant.</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4EDDA" w:val="clear"/>
            <w:tcMar>
              <w:top w:type="dxa" w:w="140"/>
              <w:left w:type="dxa" w:w="140"/>
              <w:bottom w:type="dxa" w:w="140"/>
              <w:right w:type="dxa" w:w="140"/>
            </w:tcMar>
          </w:tcPr>
          <w:p>
            <w:r>
              <w:rPr>
                <w:rFonts w:ascii="Arial" w:cs="Arial" w:eastAsia="Arial" w:hAnsi="Arial"/>
                <w:b/>
                <w:bCs/>
                <w:color w:val="2D3748"/>
                <w:sz w:val="20"/>
                <w:szCs w:val="20"/>
              </w:rPr>
              <w:t xml:space="preserve">STRENGTHS</w:t>
            </w:r>
          </w:p>
          <w:p>
            <w:pPr>
              <w:spacing w:before="60"/>
            </w:pPr>
            <w:r>
              <w:rPr>
                <w:rFonts w:ascii="Arial" w:cs="Arial" w:eastAsia="Arial" w:hAnsi="Arial"/>
                <w:i/>
                <w:iCs/>
                <w:color w:val="555555"/>
                <w:sz w:val="18"/>
                <w:szCs w:val="18"/>
              </w:rPr>
              <w:t xml:space="preserve">Internal positives — what does the conglomerate do well?</w:t>
            </w:r>
          </w:p>
          <w:p>
            <w:pPr>
              <w:spacing w:before="80"/>
            </w:pPr>
            <w:r>
              <w:rPr>
                <w:rFonts w:ascii="Arial" w:cs="Arial" w:eastAsia="Arial" w:hAnsi="Arial"/>
                <w:sz w:val="20"/>
                <w:szCs w:val="20"/>
              </w:rPr>
              <w:t xml:space="preserve">
</w:t>
            </w:r>
          </w:p>
        </w:tc>
        <w:tc>
          <w:tcPr>
            <w:tcW w:type="dxa" w:w="4680"/>
            <w:tcBorders>
              <w:top w:val="single" w:color="CCCCCC" w:sz="1"/>
              <w:left w:val="single" w:color="CCCCCC" w:sz="1"/>
              <w:bottom w:val="single" w:color="CCCCCC" w:sz="1"/>
              <w:right w:val="single" w:color="CCCCCC" w:sz="1"/>
            </w:tcBorders>
            <w:shd w:fill="F8D7DA" w:val="clear"/>
            <w:tcMar>
              <w:top w:type="dxa" w:w="140"/>
              <w:left w:type="dxa" w:w="140"/>
              <w:bottom w:type="dxa" w:w="140"/>
              <w:right w:type="dxa" w:w="140"/>
            </w:tcMar>
          </w:tcPr>
          <w:p>
            <w:r>
              <w:rPr>
                <w:rFonts w:ascii="Arial" w:cs="Arial" w:eastAsia="Arial" w:hAnsi="Arial"/>
                <w:b/>
                <w:bCs/>
                <w:color w:val="2D3748"/>
                <w:sz w:val="20"/>
                <w:szCs w:val="20"/>
              </w:rPr>
              <w:t xml:space="preserve">WEAKNESSES</w:t>
            </w:r>
          </w:p>
          <w:p>
            <w:pPr>
              <w:spacing w:before="60"/>
            </w:pPr>
            <w:r>
              <w:rPr>
                <w:rFonts w:ascii="Arial" w:cs="Arial" w:eastAsia="Arial" w:hAnsi="Arial"/>
                <w:i/>
                <w:iCs/>
                <w:color w:val="555555"/>
                <w:sz w:val="18"/>
                <w:szCs w:val="18"/>
              </w:rPr>
              <w:t xml:space="preserve">Internal negatives — where does the conglomerate fall short?</w:t>
            </w:r>
          </w:p>
          <w:p>
            <w:pPr>
              <w:spacing w:before="80"/>
            </w:pPr>
            <w:r>
              <w:rPr>
                <w:rFonts w:ascii="Arial" w:cs="Arial" w:eastAsia="Arial" w:hAnsi="Arial"/>
                <w:sz w:val="20"/>
                <w:szCs w:val="20"/>
              </w:rPr>
              <w:t xml:space="preserve">
</w:t>
            </w:r>
          </w:p>
        </w:tc>
      </w:tr>
      <w:tr>
        <w:tc>
          <w:tcPr>
            <w:tcW w:type="dxa" w:w="4680"/>
            <w:tcBorders>
              <w:top w:val="single" w:color="CCCCCC" w:sz="1"/>
              <w:left w:val="single" w:color="CCCCCC" w:sz="1"/>
              <w:bottom w:val="single" w:color="CCCCCC" w:sz="1"/>
              <w:right w:val="single" w:color="CCCCCC" w:sz="1"/>
            </w:tcBorders>
            <w:shd w:fill="D1ECF1" w:val="clear"/>
            <w:tcMar>
              <w:top w:type="dxa" w:w="140"/>
              <w:left w:type="dxa" w:w="140"/>
              <w:bottom w:type="dxa" w:w="140"/>
              <w:right w:type="dxa" w:w="140"/>
            </w:tcMar>
          </w:tcPr>
          <w:p>
            <w:r>
              <w:rPr>
                <w:rFonts w:ascii="Arial" w:cs="Arial" w:eastAsia="Arial" w:hAnsi="Arial"/>
                <w:b/>
                <w:bCs/>
                <w:color w:val="2D3748"/>
                <w:sz w:val="20"/>
                <w:szCs w:val="20"/>
              </w:rPr>
              <w:t xml:space="preserve">OPPORTUNITIES</w:t>
            </w:r>
          </w:p>
          <w:p>
            <w:pPr>
              <w:spacing w:before="60"/>
            </w:pPr>
            <w:r>
              <w:rPr>
                <w:rFonts w:ascii="Arial" w:cs="Arial" w:eastAsia="Arial" w:hAnsi="Arial"/>
                <w:i/>
                <w:iCs/>
                <w:color w:val="555555"/>
                <w:sz w:val="18"/>
                <w:szCs w:val="18"/>
              </w:rPr>
              <w:t xml:space="preserve">External positives — what trends or conditions favor growth?</w:t>
            </w:r>
          </w:p>
          <w:p>
            <w:pPr>
              <w:spacing w:before="80"/>
            </w:pPr>
            <w:r>
              <w:rPr>
                <w:rFonts w:ascii="Arial" w:cs="Arial" w:eastAsia="Arial" w:hAnsi="Arial"/>
                <w:sz w:val="20"/>
                <w:szCs w:val="20"/>
              </w:rPr>
              <w:t xml:space="preserve">
</w:t>
            </w:r>
          </w:p>
        </w:tc>
        <w:tc>
          <w:tcPr>
            <w:tcW w:type="dxa" w:w="4680"/>
            <w:tcBorders>
              <w:top w:val="single" w:color="CCCCCC" w:sz="1"/>
              <w:left w:val="single" w:color="CCCCCC" w:sz="1"/>
              <w:bottom w:val="single" w:color="CCCCCC" w:sz="1"/>
              <w:right w:val="single" w:color="CCCCCC" w:sz="1"/>
            </w:tcBorders>
            <w:shd w:fill="FFF3CD" w:val="clear"/>
            <w:tcMar>
              <w:top w:type="dxa" w:w="140"/>
              <w:left w:type="dxa" w:w="140"/>
              <w:bottom w:type="dxa" w:w="140"/>
              <w:right w:type="dxa" w:w="140"/>
            </w:tcMar>
          </w:tcPr>
          <w:p>
            <w:r>
              <w:rPr>
                <w:rFonts w:ascii="Arial" w:cs="Arial" w:eastAsia="Arial" w:hAnsi="Arial"/>
                <w:b/>
                <w:bCs/>
                <w:color w:val="2D3748"/>
                <w:sz w:val="20"/>
                <w:szCs w:val="20"/>
              </w:rPr>
              <w:t xml:space="preserve">THREATS</w:t>
            </w:r>
          </w:p>
          <w:p>
            <w:pPr>
              <w:spacing w:before="60"/>
            </w:pPr>
            <w:r>
              <w:rPr>
                <w:rFonts w:ascii="Arial" w:cs="Arial" w:eastAsia="Arial" w:hAnsi="Arial"/>
                <w:i/>
                <w:iCs/>
                <w:color w:val="555555"/>
                <w:sz w:val="18"/>
                <w:szCs w:val="18"/>
              </w:rPr>
              <w:t xml:space="preserve">External negatives — what forces could harm the conglomerate?</w:t>
            </w:r>
          </w:p>
          <w:p>
            <w:pPr>
              <w:spacing w:before="80"/>
            </w:pPr>
            <w:r>
              <w:rPr>
                <w:rFonts w:ascii="Arial" w:cs="Arial" w:eastAsia="Arial" w:hAnsi="Arial"/>
                <w:sz w:val="20"/>
                <w:szCs w:val="20"/>
              </w:rPr>
              <w:t xml:space="preserve">
</w:t>
            </w:r>
          </w:p>
        </w:tc>
      </w:tr>
    </w:tbl>
    <w:p>
      <w:pPr>
        <w:spacing w:after="0" w:before="120"/>
      </w:pPr>
      <w:r>
        <w:t xml:space="preserve"/>
      </w:r>
    </w:p>
    <w:p>
      <w:pPr>
        <w:pBdr>
          <w:bottom w:val="single" w:color="44337A" w:sz="4" w:space="2"/>
        </w:pBdr>
        <w:spacing w:after="60" w:before="200"/>
      </w:pPr>
      <w:r>
        <w:rPr>
          <w:rFonts w:ascii="Arial" w:cs="Arial" w:eastAsia="Arial" w:hAnsi="Arial"/>
          <w:b/>
          <w:bCs/>
          <w:color w:val="44337A"/>
          <w:sz w:val="20"/>
          <w:szCs w:val="20"/>
        </w:rPr>
        <w:t xml:space="preserve">DIVISION CONTEXT — WHERE THIS LIVES IN THE CONGLOMERATE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color w:val="2D3748"/>
                <w:sz w:val="20"/>
                <w:szCs w:val="20"/>
              </w:rPr>
              <w:t xml:space="preserve">Active in</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All divisions — the marketing plan is the conglomerate's synthesis document</w:t>
            </w:r>
          </w:p>
        </w:tc>
      </w:tr>
      <w:tr>
        <w:tc>
          <w:tcPr>
            <w:tcW w:type="dxa" w:w="20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color w:val="2D3748"/>
                <w:sz w:val="20"/>
                <w:szCs w:val="20"/>
              </w:rPr>
              <w:t xml:space="preserve">What students do</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Each division contributes its section of the marketing plan: Creative Studio contributes brand strategy evidence, Wholesale &amp; Sourcing contributes supply chain context, Production contributes capacity and cost data, Store Manager contributes sales actuals, Media &amp; PR contributes digital performance data, Events Division contributes event execution data, Esports Division contributes league performance data. The General Manager assembles and edits the full document. The final plan is presented to the class and submitted to administration.</w:t>
            </w:r>
          </w:p>
        </w:tc>
      </w:tr>
      <w:tr>
        <w:tc>
          <w:tcPr>
            <w:tcW w:type="dxa" w:w="20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color w:val="2D3748"/>
                <w:sz w:val="20"/>
                <w:szCs w:val="20"/>
              </w:rPr>
              <w:t xml:space="preserve">Esports connection</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The esports league is the centerpiece of the marketing plan's implementation section. Every strategic choice — brand identity, pricing, digital distribution, promotional campaign, event execution — is demonstrated through the league's first season. The plan shows the administrator not just what the program intends to do, but what it has already done and what the results were.</w:t>
            </w:r>
          </w:p>
        </w:tc>
      </w:tr>
      <w:tr>
        <w:tc>
          <w:tcPr>
            <w:tcW w:type="dxa" w:w="20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color w:val="2D3748"/>
                <w:sz w:val="20"/>
                <w:szCs w:val="20"/>
              </w:rPr>
              <w:t xml:space="preserve">Connects to</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Stage 9 (Career) — the marketing plan is the primary portfolio artifact students take from the program. It demonstrates planning, research, strategy, execution, and measurement — all in one document. Every student contributed to it; management students can claim primary authorship of their section.</w:t>
            </w:r>
          </w:p>
        </w:tc>
      </w:tr>
    </w:tbl>
    <w:p>
      <w:pPr>
        <w:spacing w:after="0" w:before="120"/>
      </w:pPr>
      <w:r>
        <w:t xml:space="preserve"/>
      </w:r>
    </w:p>
    <w:p>
      <w:pPr>
        <w:pBdr>
          <w:bottom w:val="single" w:color="44337A" w:sz="4" w:space="2"/>
        </w:pBdr>
        <w:spacing w:after="60" w:before="200"/>
      </w:pPr>
      <w:r>
        <w:rPr>
          <w:rFonts w:ascii="Arial" w:cs="Arial" w:eastAsia="Arial" w:hAnsi="Arial"/>
          <w:b/>
          <w:bCs/>
          <w:color w:val="44337A"/>
          <w:sz w:val="20"/>
          <w:szCs w:val="20"/>
        </w:rPr>
        <w:t xml:space="preserve">WORK-BASED LEARNING CONNECTION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color w:val="2D3748"/>
                <w:sz w:val="20"/>
                <w:szCs w:val="20"/>
              </w:rPr>
              <w:t xml:space="preserve">WBL type</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Marketing plan assembly + SWOT analysis + ROI evaluation</w:t>
            </w:r>
          </w:p>
        </w:tc>
      </w:tr>
      <w:tr>
        <w:tc>
          <w:tcPr>
            <w:tcW w:type="dxa" w:w="20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color w:val="2D3748"/>
                <w:sz w:val="20"/>
                <w:szCs w:val="20"/>
              </w:rPr>
              <w:t xml:space="preserve">Work product</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Three deliverables: (1) Conglomerate Marketing Plan — full document assembled from prior stage deliverables, organized to the standard seven-component structure. Minimum 12 pages. Submitted to administration as the program's primary accountability document. (2) SWOT analysis — completed for the conglomerate using evidence from prior stages, with a one-paragraph strategy implication for each quadrant intersection. (3) ROI evaluation — a two-page document measuring the program's return across financial, audience, and brand dimensions against the objectives set at the start of the year.</w:t>
            </w:r>
          </w:p>
        </w:tc>
      </w:tr>
      <w:tr>
        <w:tc>
          <w:tcPr>
            <w:tcW w:type="dxa" w:w="20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color w:val="2D3748"/>
                <w:sz w:val="20"/>
                <w:szCs w:val="20"/>
              </w:rPr>
              <w:t xml:space="preserve">8175 role</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Marketing Advisor rotation students lead the marketing plan assembly — they have the broadest view of all four rotation tracks and can integrate inputs from across divisions. All 8175 students contribute their section based on rotation history. Each student writes a one-paragraph reflection on how their rotation experience informed a specific section of the plan.</w:t>
            </w:r>
          </w:p>
        </w:tc>
      </w:tr>
      <w:tr>
        <w:tc>
          <w:tcPr>
            <w:tcW w:type="dxa" w:w="20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color w:val="2D3748"/>
                <w:sz w:val="20"/>
                <w:szCs w:val="20"/>
              </w:rPr>
              <w:t xml:space="preserve">8177 role</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General Manager owns the final marketing plan document — editing for consistency, filling gaps, and presenting to administration. All 8177 management students author the section of the plan corresponding to their specialization. The Events Manager produces the 8177 event marketing plan (Task 97) for the second home match as a standalone deliverable within the larger plan.</w:t>
            </w:r>
          </w:p>
        </w:tc>
      </w:tr>
    </w:tbl>
    <w:p>
      <w:pPr>
        <w:spacing w:after="0" w:before="120"/>
      </w:pPr>
      <w:r>
        <w:t xml:space="preserve"/>
      </w:r>
    </w:p>
    <w:p>
      <w:pPr>
        <w:pBdr>
          <w:bottom w:val="single" w:color="44337A" w:sz="4" w:space="2"/>
        </w:pBdr>
        <w:spacing w:after="60" w:before="200"/>
      </w:pPr>
      <w:r>
        <w:rPr>
          <w:rFonts w:ascii="Arial" w:cs="Arial" w:eastAsia="Arial" w:hAnsi="Arial"/>
          <w:b/>
          <w:bCs/>
          <w:color w:val="44337A"/>
          <w:sz w:val="20"/>
          <w:szCs w:val="20"/>
        </w:rPr>
        <w:t xml:space="preserve">EQUIPMENT IN USE</w:t>
      </w:r>
    </w:p>
    <w:p>
      <w:pPr>
        <w:pStyle w:val="ListParagraph"/>
        <w:numPr>
          <w:ilvl w:val="0"/>
          <w:numId w:val="2"/>
        </w:numPr>
        <w:spacing w:after="40" w:before="40"/>
      </w:pPr>
      <w:r>
        <w:rPr>
          <w:rFonts w:ascii="Arial" w:cs="Arial" w:eastAsia="Arial" w:hAnsi="Arial"/>
          <w:sz w:val="22"/>
          <w:szCs w:val="22"/>
        </w:rPr>
        <w:t xml:space="preserve">Computers — marketing plan drafting and assembly (Google Docs collaborative editing), SWOT analysis, ROI calculations (Google Sheets), plan formatting and layout</w:t>
      </w:r>
    </w:p>
    <w:p>
      <w:pPr>
        <w:pStyle w:val="ListParagraph"/>
        <w:numPr>
          <w:ilvl w:val="0"/>
          <w:numId w:val="2"/>
        </w:numPr>
        <w:spacing w:after="40" w:before="40"/>
      </w:pPr>
      <w:r>
        <w:rPr>
          <w:rFonts w:ascii="Arial" w:cs="Arial" w:eastAsia="Arial" w:hAnsi="Arial"/>
          <w:sz w:val="22"/>
          <w:szCs w:val="22"/>
        </w:rPr>
        <w:t xml:space="preserve">Large format printer — print the completed marketing plan's executive summary and SWOT at poster scale for the administrative presentation</w:t>
      </w:r>
    </w:p>
    <w:p>
      <w:pPr>
        <w:spacing w:after="0" w:before="120"/>
      </w:pPr>
      <w:r>
        <w:t xml:space="preserve"/>
      </w:r>
    </w:p>
    <w:p>
      <w:pPr>
        <w:pBdr>
          <w:bottom w:val="single" w:color="44337A" w:sz="4" w:space="2"/>
        </w:pBdr>
        <w:spacing w:after="60" w:before="200"/>
      </w:pPr>
      <w:r>
        <w:rPr>
          <w:rFonts w:ascii="Arial" w:cs="Arial" w:eastAsia="Arial" w:hAnsi="Arial"/>
          <w:b/>
          <w:bCs/>
          <w:color w:val="44337A"/>
          <w:sz w:val="20"/>
          <w:szCs w:val="20"/>
        </w:rPr>
        <w:t xml:space="preserve">COURSE-SPECIFIC EXTENSION</w:t>
      </w:r>
    </w:p>
    <w:p>
      <w:pPr>
        <w:spacing w:after="60" w:before="60"/>
        <w:jc w:val="left"/>
      </w:pPr>
      <w:r>
        <w:rPr>
          <w:rFonts w:ascii="Arial" w:cs="Arial" w:eastAsia="Arial" w:hAnsi="Arial"/>
          <w:b/>
          <w:bCs/>
          <w:i w:val="false"/>
          <w:iCs w:val="false"/>
          <w:color w:val="3C3489"/>
          <w:sz w:val="22"/>
          <w:szCs w:val="22"/>
        </w:rPr>
        <w:t xml:space="preserve">8175 Marketing goes deeper on:</w:t>
      </w:r>
    </w:p>
    <w:p>
      <w:pPr>
        <w:pStyle w:val="ListParagraph"/>
        <w:numPr>
          <w:ilvl w:val="0"/>
          <w:numId w:val="2"/>
        </w:numPr>
        <w:spacing w:after="40" w:before="40"/>
      </w:pPr>
      <w:r>
        <w:rPr>
          <w:rFonts w:ascii="Arial" w:cs="Arial" w:eastAsia="Arial" w:hAnsi="Arial"/>
          <w:sz w:val="22"/>
          <w:szCs w:val="22"/>
        </w:rPr>
        <w:t xml:space="preserve">Marketing plan components in depth (Task 102): students evaluate the conglomerate's marketing plan against a professional example from a comparable sports or esports organization — what sections are stronger, what sections need development, and what would make the plan more compelling to an external reader?</w:t>
      </w:r>
    </w:p>
    <w:p>
      <w:pPr>
        <w:pStyle w:val="ListParagraph"/>
        <w:numPr>
          <w:ilvl w:val="0"/>
          <w:numId w:val="2"/>
        </w:numPr>
        <w:spacing w:after="40" w:before="40"/>
      </w:pPr>
      <w:r>
        <w:rPr>
          <w:rFonts w:ascii="Arial" w:cs="Arial" w:eastAsia="Arial" w:hAnsi="Arial"/>
          <w:sz w:val="22"/>
          <w:szCs w:val="22"/>
        </w:rPr>
        <w:t xml:space="preserve">ROI analysis methods (Task 104): students calculate three ROI metrics — financial ROI (event revenue vs. event cost), engagement ROI (social followers gained per dollar of digital investment), and attendance ROI (cost per spectator at the first match). They compare these against industry benchmarks and identify the highest-leverage investment for year two.</w:t>
      </w:r>
    </w:p>
    <w:p>
      <w:pPr>
        <w:pStyle w:val="ListParagraph"/>
        <w:numPr>
          <w:ilvl w:val="0"/>
          <w:numId w:val="2"/>
        </w:numPr>
        <w:spacing w:after="40" w:before="40"/>
      </w:pPr>
      <w:r>
        <w:rPr>
          <w:rFonts w:ascii="Arial" w:cs="Arial" w:eastAsia="Arial" w:hAnsi="Arial"/>
          <w:sz w:val="22"/>
          <w:szCs w:val="22"/>
        </w:rPr>
        <w:t xml:space="preserve">SWOT to strategy (Task 105): students identify the single most important strategic implication from each SWOT quadrant and write a one-sentence strategic recommendation for year two of the program based on each.</w:t>
      </w:r>
    </w:p>
    <w:p>
      <w:pPr>
        <w:spacing w:after="0" w:before="120"/>
      </w:pPr>
      <w:r>
        <w:t xml:space="preserve"/>
      </w:r>
    </w:p>
    <w:p>
      <w:pPr>
        <w:spacing w:after="60" w:before="60"/>
        <w:jc w:val="left"/>
      </w:pPr>
      <w:r>
        <w:rPr>
          <w:rFonts w:ascii="Arial" w:cs="Arial" w:eastAsia="Arial" w:hAnsi="Arial"/>
          <w:b/>
          <w:bCs/>
          <w:i w:val="false"/>
          <w:iCs w:val="false"/>
          <w:color w:val="085041"/>
          <w:sz w:val="22"/>
          <w:szCs w:val="22"/>
        </w:rPr>
        <w:t xml:space="preserve">8177 Management goes deeper on:</w:t>
      </w:r>
    </w:p>
    <w:p>
      <w:pPr>
        <w:pStyle w:val="ListParagraph"/>
        <w:numPr>
          <w:ilvl w:val="0"/>
          <w:numId w:val="2"/>
        </w:numPr>
        <w:spacing w:after="40" w:before="40"/>
      </w:pPr>
      <w:r>
        <w:rPr>
          <w:rFonts w:ascii="Arial" w:cs="Arial" w:eastAsia="Arial" w:hAnsi="Arial"/>
          <w:sz w:val="22"/>
          <w:szCs w:val="22"/>
        </w:rPr>
        <w:t xml:space="preserve">Event marketing plan (Task 97): the second home match marketing plan is a standalone document — not a section of the conglomerate plan, but a complete event-specific plan with its own situation analysis, objectives, strategies, budget, and success metrics. It is operational: the Events Manager uses it to run the event.</w:t>
      </w:r>
    </w:p>
    <w:p>
      <w:pPr>
        <w:pStyle w:val="ListParagraph"/>
        <w:numPr>
          <w:ilvl w:val="0"/>
          <w:numId w:val="2"/>
        </w:numPr>
        <w:spacing w:after="40" w:before="40"/>
      </w:pPr>
      <w:r>
        <w:rPr>
          <w:rFonts w:ascii="Arial" w:cs="Arial" w:eastAsia="Arial" w:hAnsi="Arial"/>
          <w:sz w:val="22"/>
          <w:szCs w:val="22"/>
        </w:rPr>
        <w:t xml:space="preserve">Plan presentation to administration: the General Manager leads a 15-minute presentation of the marketing plan to the administrator. Management students support with division-specific sections. This is a formal business presentation — not a classroom report. Students dress professionally and use the marketing plan as the primary exhibit.</w:t>
      </w:r>
    </w:p>
    <w:p>
      <w:pPr>
        <w:pStyle w:val="ListParagraph"/>
        <w:numPr>
          <w:ilvl w:val="0"/>
          <w:numId w:val="2"/>
        </w:numPr>
        <w:spacing w:after="40" w:before="40"/>
      </w:pPr>
      <w:r>
        <w:rPr>
          <w:rFonts w:ascii="Arial" w:cs="Arial" w:eastAsia="Arial" w:hAnsi="Arial"/>
          <w:sz w:val="22"/>
          <w:szCs w:val="22"/>
        </w:rPr>
        <w:t xml:space="preserve">Year-two planning: using the SWOT analysis and ROI evaluation, management students draft a one-page year-two strategic priorities memo — three things the program should do differently next year and why, supported by evidence from year one's data.</w:t>
      </w:r>
    </w:p>
    <w:p>
      <w:pPr>
        <w:spacing w:after="0" w:before="120"/>
      </w:pPr>
      <w:r>
        <w:t xml:space="preserve"/>
      </w:r>
    </w:p>
    <w:p>
      <w:pPr>
        <w:pBdr>
          <w:bottom w:val="single" w:color="44337A" w:sz="4" w:space="2"/>
        </w:pBdr>
        <w:spacing w:after="60" w:before="200"/>
      </w:pPr>
      <w:r>
        <w:rPr>
          <w:rFonts w:ascii="Arial" w:cs="Arial" w:eastAsia="Arial" w:hAnsi="Arial"/>
          <w:b/>
          <w:bCs/>
          <w:color w:val="44337A"/>
          <w:sz w:val="20"/>
          <w:szCs w:val="20"/>
        </w:rPr>
        <w:t xml:space="preserve">VOCABULARY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sz w:val="20"/>
                <w:szCs w:val="20"/>
              </w:rPr>
              <w:t xml:space="preserve">Marketing plan</w:t>
            </w:r>
          </w:p>
        </w:tc>
        <w:tc>
          <w:tcPr>
            <w:tcW w:type="dxa" w:w="696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sz w:val="20"/>
                <w:szCs w:val="20"/>
              </w:rPr>
              <w:t xml:space="preserve">A comprehensive document defining an organization's marketing objectives, strategies, implementation timeline, and financial projections — the synthesis of all prior planning work</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20"/>
                <w:szCs w:val="20"/>
              </w:rPr>
              <w:t xml:space="preserve">Situation analysis</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The section of the marketing plan that describes the current state of the organization and its environment — industry overview, competitive landscape, and SWOT</w:t>
            </w:r>
          </w:p>
        </w:tc>
      </w:tr>
      <w:tr>
        <w:tc>
          <w:tcPr>
            <w:tcW w:type="dxa" w:w="24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sz w:val="20"/>
                <w:szCs w:val="20"/>
              </w:rPr>
              <w:t xml:space="preserve">SWOT analysis</w:t>
            </w:r>
          </w:p>
        </w:tc>
        <w:tc>
          <w:tcPr>
            <w:tcW w:type="dxa" w:w="696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sz w:val="20"/>
                <w:szCs w:val="20"/>
              </w:rPr>
              <w:t xml:space="preserve">A strategic framework examining internal Strengths and Weaknesses alongside external Opportunities and Threats — the foundation of strategy development</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20"/>
                <w:szCs w:val="20"/>
              </w:rPr>
              <w:t xml:space="preserve">Return on investment (ROI)</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 measure of the value generated relative to the cost invested — financial, audience, and brand ROI are all relevant dimensions for the conglomerate</w:t>
            </w:r>
          </w:p>
        </w:tc>
      </w:tr>
      <w:tr>
        <w:tc>
          <w:tcPr>
            <w:tcW w:type="dxa" w:w="24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sz w:val="20"/>
                <w:szCs w:val="20"/>
              </w:rPr>
              <w:t xml:space="preserve">Marketing objective</w:t>
            </w:r>
          </w:p>
        </w:tc>
        <w:tc>
          <w:tcPr>
            <w:tcW w:type="dxa" w:w="696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sz w:val="20"/>
                <w:szCs w:val="20"/>
              </w:rPr>
              <w:t xml:space="preserve">A specific, measurable, time-bound goal that the marketing plan is designed to achieve — '80 spectators at the first match' is a marketing objective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20"/>
                <w:szCs w:val="20"/>
              </w:rPr>
              <w:t xml:space="preserve">Executive summary</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 one-page overview of the entire marketing plan — written last but placed first. The document an administrator reads if they only have five minutes.</w:t>
            </w:r>
          </w:p>
        </w:tc>
      </w:tr>
      <w:tr>
        <w:tc>
          <w:tcPr>
            <w:tcW w:type="dxa" w:w="24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sz w:val="20"/>
                <w:szCs w:val="20"/>
              </w:rPr>
              <w:t xml:space="preserve">Implementation timeline</w:t>
            </w:r>
          </w:p>
        </w:tc>
        <w:tc>
          <w:tcPr>
            <w:tcW w:type="dxa" w:w="696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sz w:val="20"/>
                <w:szCs w:val="20"/>
              </w:rPr>
              <w:t xml:space="preserve">The section of the marketing plan that specifies when each strategy is executed — which campaign runs when, which events occur in which sequence</w:t>
            </w:r>
          </w:p>
        </w:tc>
      </w:tr>
    </w:tbl>
    <w:p>
      <w:pPr>
        <w:spacing w:after="0" w:before="120"/>
      </w:pPr>
      <w:r>
        <w:t xml:space="preserve"/>
      </w:r>
    </w:p>
    <w:p>
      <w:pPr>
        <w:pBdr>
          <w:bottom w:val="single" w:color="44337A" w:sz="4" w:space="2"/>
        </w:pBdr>
        <w:spacing w:after="60" w:before="200"/>
      </w:pPr>
      <w:r>
        <w:rPr>
          <w:rFonts w:ascii="Arial" w:cs="Arial" w:eastAsia="Arial" w:hAnsi="Arial"/>
          <w:b/>
          <w:bCs/>
          <w:color w:val="44337A"/>
          <w:sz w:val="20"/>
          <w:szCs w:val="20"/>
        </w:rPr>
        <w:t xml:space="preserve">COMPETENCY ALIGNMENT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960"/>
        <w:gridCol w:w="1600"/>
        <w:gridCol w:w="600"/>
        <w:gridCol w:w="600"/>
      </w:tblGrid>
      <w:tr>
        <w:tc>
          <w:tcPr>
            <w:tcW w:type="dxa" w:w="600"/>
            <w:tcBorders>
              <w:top w:val="single" w:color="CCCCCC" w:sz="1"/>
              <w:left w:val="single" w:color="CCCCCC" w:sz="1"/>
              <w:bottom w:val="single" w:color="CCCCCC" w:sz="1"/>
              <w:right w:val="single" w:color="CCCCCC" w:sz="1"/>
            </w:tcBorders>
            <w:shd w:fill="2C5282"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Task</w:t>
            </w:r>
          </w:p>
        </w:tc>
        <w:tc>
          <w:tcPr>
            <w:tcW w:type="dxa" w:w="5960"/>
            <w:tcBorders>
              <w:top w:val="single" w:color="CCCCCC" w:sz="1"/>
              <w:left w:val="single" w:color="CCCCCC" w:sz="1"/>
              <w:bottom w:val="single" w:color="CCCCCC" w:sz="1"/>
              <w:right w:val="single" w:color="CCCCCC" w:sz="1"/>
            </w:tcBorders>
            <w:shd w:fill="2C5282"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Competency</w:t>
            </w:r>
          </w:p>
        </w:tc>
        <w:tc>
          <w:tcPr>
            <w:tcW w:type="dxa" w:w="1600"/>
            <w:tcBorders>
              <w:top w:val="single" w:color="CCCCCC" w:sz="1"/>
              <w:left w:val="single" w:color="CCCCCC" w:sz="1"/>
              <w:bottom w:val="single" w:color="CCCCCC" w:sz="1"/>
              <w:right w:val="single" w:color="CCCCCC" w:sz="1"/>
            </w:tcBorders>
            <w:shd w:fill="2C5282"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Course</w:t>
            </w:r>
          </w:p>
        </w:tc>
        <w:tc>
          <w:tcPr>
            <w:tcW w:type="dxa" w:w="600"/>
            <w:tcBorders>
              <w:top w:val="single" w:color="CCCCCC" w:sz="1"/>
              <w:left w:val="single" w:color="CCCCCC" w:sz="1"/>
              <w:bottom w:val="single" w:color="CCCCCC" w:sz="1"/>
              <w:right w:val="single" w:color="CCCCCC" w:sz="1"/>
            </w:tcBorders>
            <w:shd w:fill="2C5282"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Req.</w:t>
            </w:r>
          </w:p>
        </w:tc>
        <w:tc>
          <w:tcPr>
            <w:tcW w:type="dxa" w:w="600"/>
            <w:tcBorders>
              <w:top w:val="single" w:color="CCCCCC" w:sz="1"/>
              <w:left w:val="single" w:color="CCCCCC" w:sz="1"/>
              <w:bottom w:val="single" w:color="CCCCCC" w:sz="1"/>
              <w:right w:val="single" w:color="CCCCCC" w:sz="1"/>
            </w:tcBorders>
            <w:shd w:fill="2C5282"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SCR</w:t>
            </w:r>
          </w:p>
        </w:tc>
      </w:tr>
      <w:tr>
        <w:tc>
          <w:tcPr>
            <w:tcW w:type="dxa" w:w="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sz w:val="18"/>
                <w:szCs w:val="18"/>
              </w:rPr>
              <w:t xml:space="preserve">102</w:t>
            </w:r>
          </w:p>
        </w:tc>
        <w:tc>
          <w:tcPr>
            <w:tcW w:type="dxa" w:w="596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sz w:val="18"/>
                <w:szCs w:val="18"/>
              </w:rPr>
              <w:t xml:space="preserve">Explain the components of the marketing plan.</w:t>
            </w:r>
          </w:p>
        </w:tc>
        <w:tc>
          <w:tcPr>
            <w:tcW w:type="dxa" w:w="1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pPr>
              <w:jc w:val="center"/>
            </w:pPr>
            <w:r>
              <w:rPr>
                <w:rFonts w:ascii="Arial" w:cs="Arial" w:eastAsia="Arial" w:hAnsi="Arial"/>
                <w:color w:val="3C3489"/>
                <w:sz w:val="18"/>
                <w:szCs w:val="18"/>
              </w:rPr>
              <w:t xml:space="preserve">8175</w:t>
            </w:r>
          </w:p>
        </w:tc>
        <w:tc>
          <w:tcPr>
            <w:tcW w:type="dxa" w:w="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pPr>
              <w:jc w:val="center"/>
            </w:pPr>
            <w:r>
              <w:rPr>
                <w:rFonts w:ascii="Arial" w:cs="Arial" w:eastAsia="Arial" w:hAnsi="Arial"/>
                <w:color w:val="1D9E75"/>
                <w:sz w:val="18"/>
                <w:szCs w:val="18"/>
              </w:rPr>
              <w:t xml:space="preserve">✓</w:t>
            </w:r>
          </w:p>
        </w:tc>
        <w:tc>
          <w:tcPr>
            <w:tcW w:type="dxa" w:w="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color w:val="CCCCCC"/>
                <w:sz w:val="18"/>
                <w:szCs w:val="18"/>
              </w:rPr>
              <w:t xml:space="preserve">__</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103</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Describe the importance of research in developing a marketing plan.</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3C3489"/>
                <w:sz w:val="18"/>
                <w:szCs w:val="18"/>
              </w:rPr>
              <w:t xml:space="preserve">8175</w:t>
            </w:r>
          </w:p>
        </w:tc>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1D9E75"/>
                <w:sz w:val="18"/>
                <w:szCs w:val="18"/>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CCCCCC"/>
                <w:sz w:val="18"/>
                <w:szCs w:val="18"/>
              </w:rPr>
              <w:t xml:space="preserve">__</w:t>
            </w:r>
          </w:p>
        </w:tc>
      </w:tr>
      <w:tr>
        <w:tc>
          <w:tcPr>
            <w:tcW w:type="dxa" w:w="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sz w:val="18"/>
                <w:szCs w:val="18"/>
              </w:rPr>
              <w:t xml:space="preserve">104</w:t>
            </w:r>
          </w:p>
        </w:tc>
        <w:tc>
          <w:tcPr>
            <w:tcW w:type="dxa" w:w="596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sz w:val="18"/>
                <w:szCs w:val="18"/>
              </w:rPr>
              <w:t xml:space="preserve">Describe the importance of analyzing the marketing plan to determine ROI of the spend.</w:t>
            </w:r>
          </w:p>
        </w:tc>
        <w:tc>
          <w:tcPr>
            <w:tcW w:type="dxa" w:w="1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pPr>
              <w:jc w:val="center"/>
            </w:pPr>
            <w:r>
              <w:rPr>
                <w:rFonts w:ascii="Arial" w:cs="Arial" w:eastAsia="Arial" w:hAnsi="Arial"/>
                <w:color w:val="3C3489"/>
                <w:sz w:val="18"/>
                <w:szCs w:val="18"/>
              </w:rPr>
              <w:t xml:space="preserve">8175</w:t>
            </w:r>
          </w:p>
        </w:tc>
        <w:tc>
          <w:tcPr>
            <w:tcW w:type="dxa" w:w="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pPr>
              <w:jc w:val="center"/>
            </w:pPr>
            <w:r>
              <w:rPr>
                <w:rFonts w:ascii="Arial" w:cs="Arial" w:eastAsia="Arial" w:hAnsi="Arial"/>
                <w:color w:val="1D9E75"/>
                <w:sz w:val="18"/>
                <w:szCs w:val="18"/>
              </w:rPr>
              <w:t xml:space="preserve">✓</w:t>
            </w:r>
          </w:p>
        </w:tc>
        <w:tc>
          <w:tcPr>
            <w:tcW w:type="dxa" w:w="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color w:val="CCCCCC"/>
                <w:sz w:val="18"/>
                <w:szCs w:val="18"/>
              </w:rPr>
              <w:t xml:space="preserve">__</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105</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Identify the components of a SWOT analysis.</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3C3489"/>
                <w:sz w:val="18"/>
                <w:szCs w:val="18"/>
              </w:rPr>
              <w:t xml:space="preserve">8175</w:t>
            </w:r>
          </w:p>
        </w:tc>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1D9E75"/>
                <w:sz w:val="18"/>
                <w:szCs w:val="18"/>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CCCCCC"/>
                <w:sz w:val="18"/>
                <w:szCs w:val="18"/>
              </w:rPr>
              <w:t xml:space="preserve">__</w:t>
            </w:r>
          </w:p>
        </w:tc>
      </w:tr>
      <w:tr>
        <w:tc>
          <w:tcPr>
            <w:tcW w:type="dxa" w:w="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sz w:val="18"/>
                <w:szCs w:val="18"/>
              </w:rPr>
              <w:t xml:space="preserve">97</w:t>
            </w:r>
          </w:p>
        </w:tc>
        <w:tc>
          <w:tcPr>
            <w:tcW w:type="dxa" w:w="596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sz w:val="18"/>
                <w:szCs w:val="18"/>
              </w:rPr>
              <w:t xml:space="preserve">Develop a marketing plan for an event.</w:t>
            </w:r>
          </w:p>
        </w:tc>
        <w:tc>
          <w:tcPr>
            <w:tcW w:type="dxa" w:w="1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pPr>
              <w:jc w:val="center"/>
            </w:pPr>
            <w:r>
              <w:rPr>
                <w:rFonts w:ascii="Arial" w:cs="Arial" w:eastAsia="Arial" w:hAnsi="Arial"/>
                <w:color w:val="085041"/>
                <w:sz w:val="18"/>
                <w:szCs w:val="18"/>
              </w:rPr>
              <w:t xml:space="preserve">8177</w:t>
            </w:r>
          </w:p>
        </w:tc>
        <w:tc>
          <w:tcPr>
            <w:tcW w:type="dxa" w:w="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pPr>
              <w:jc w:val="center"/>
            </w:pPr>
            <w:r>
              <w:rPr>
                <w:rFonts w:ascii="Arial" w:cs="Arial" w:eastAsia="Arial" w:hAnsi="Arial"/>
                <w:color w:val="1D9E75"/>
                <w:sz w:val="18"/>
                <w:szCs w:val="18"/>
              </w:rPr>
              <w:t xml:space="preserve">✓</w:t>
            </w:r>
          </w:p>
        </w:tc>
        <w:tc>
          <w:tcPr>
            <w:tcW w:type="dxa" w:w="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color w:val="CCCCCC"/>
                <w:sz w:val="18"/>
                <w:szCs w:val="18"/>
              </w:rPr>
              <w:t xml:space="preserve">__</w:t>
            </w:r>
          </w:p>
        </w:tc>
      </w:tr>
    </w:tbl>
    <w:p>
      <w:pPr>
        <w:spacing w:after="0" w:before="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4337A" w:val="clear"/>
            <w:tcMar>
              <w:top w:type="dxa" w:w="120"/>
              <w:left w:type="dxa" w:w="160"/>
              <w:bottom w:type="dxa" w:w="120"/>
              <w:right w:type="dxa" w:w="160"/>
            </w:tcMar>
          </w:tcPr>
          <w:p>
            <w:r>
              <w:rPr>
                <w:rFonts w:ascii="Arial" w:cs="Arial" w:eastAsia="Arial" w:hAnsi="Arial"/>
                <w:b/>
                <w:bCs/>
                <w:color w:val="FFFFFF"/>
                <w:sz w:val="24"/>
                <w:szCs w:val="24"/>
              </w:rPr>
              <w:t xml:space="preserve">STAGE 8  ·  STRATEGY / SYNTHESIS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0"/>
        <w:gridCol w:w="2560"/>
      </w:tblGrid>
      <w:tr>
        <w:tc>
          <w:tcPr>
            <w:tcW w:type="dxa" w:w="6800"/>
            <w:tcBorders>
              <w:top w:val="none" w:color="FFFFFF" w:sz="0"/>
              <w:left w:val="none" w:color="FFFFFF" w:sz="0"/>
              <w:bottom w:val="none" w:color="FFFFFF" w:sz="0"/>
              <w:right w:val="none" w:color="FFFFFF" w:sz="0"/>
            </w:tcBorders>
            <w:tcMar>
              <w:top w:type="dxa" w:w="80"/>
              <w:left w:type="dxa" w:w="0"/>
              <w:bottom w:type="dxa" w:w="80"/>
              <w:right w:type="dxa" w:w="160"/>
            </w:tcMar>
            <w:vAlign w:val="center"/>
          </w:tcPr>
          <w:p>
            <w:r>
              <w:rPr>
                <w:rFonts w:ascii="Arial" w:cs="Arial" w:eastAsia="Arial" w:hAnsi="Arial"/>
                <w:b/>
                <w:bCs/>
                <w:color w:val="1D3557"/>
                <w:sz w:val="30"/>
                <w:szCs w:val="30"/>
              </w:rPr>
              <w:t xml:space="preserve">Event Planning &amp; Management</w:t>
            </w:r>
          </w:p>
        </w:tc>
        <w:tc>
          <w:tcPr>
            <w:tcW w:type="dxa" w:w="2560"/>
            <w:tcBorders>
              <w:top w:val="none" w:color="FFFFFF" w:sz="0"/>
              <w:left w:val="none" w:color="FFFFFF" w:sz="0"/>
              <w:bottom w:val="none" w:color="FFFFFF" w:sz="0"/>
              <w:right w:val="none" w:color="FFFFFF" w:sz="0"/>
            </w:tcBorders>
            <w:tcMar>
              <w:top w:type="dxa" w:w="80"/>
              <w:left w:type="dxa" w:w="0"/>
              <w:bottom w:type="dxa" w:w="80"/>
              <w:right w:type="dxa" w:w="0"/>
            </w:tcMar>
            <w:vAlign w:val="center"/>
          </w:tcPr>
          <w:tbl>
            <w:tblPr>
              <w:tblW w:type="dxa" w:w="2560"/>
              <w:tblBorders>
                <w:top w:val="single" w:color="auto" w:sz="4"/>
                <w:left w:val="single" w:color="auto" w:sz="4"/>
                <w:bottom w:val="single" w:color="auto" w:sz="4"/>
                <w:right w:val="single" w:color="auto" w:sz="4"/>
                <w:insideH w:val="single" w:color="auto" w:sz="4"/>
                <w:insideV w:val="single" w:color="auto" w:sz="4"/>
              </w:tblBorders>
            </w:tblPr>
            <w:tblGrid>
              <w:gridCol w:w="2560"/>
            </w:tblGrid>
            <w:tr>
              <w:tc>
                <w:tcPr>
                  <w:tcW w:type="dxa" w:w="2560"/>
                  <w:tcBorders>
                    <w:top w:val="none" w:color="FFFFFF" w:sz="0"/>
                    <w:left w:val="none" w:color="FFFFFF" w:sz="0"/>
                    <w:bottom w:val="none" w:color="FFFFFF" w:sz="0"/>
                    <w:right w:val="none" w:color="FFFFFF" w:sz="0"/>
                  </w:tcBorders>
                  <w:shd w:fill="085041"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8177 only</w:t>
                  </w:r>
                </w:p>
              </w:tc>
            </w:tr>
            <w:tr>
              <w:tc>
                <w:tcPr>
                  <w:tcW w:type="dxa" w:w="2560"/>
                  <w:tcBorders>
                    <w:top w:val="none" w:color="FFFFFF" w:sz="0"/>
                    <w:left w:val="none" w:color="FFFFFF" w:sz="0"/>
                    <w:bottom w:val="none" w:color="FFFFFF" w:sz="0"/>
                    <w:right w:val="none" w:color="FFFFFF" w:sz="0"/>
                  </w:tcBorders>
                  <w:shd w:fill="EDF2F7" w:val="clear"/>
                  <w:tcMar>
                    <w:top w:type="dxa" w:w="80"/>
                    <w:left w:type="dxa" w:w="120"/>
                    <w:bottom w:type="dxa" w:w="80"/>
                    <w:right w:type="dxa" w:w="120"/>
                  </w:tcMar>
                </w:tcPr>
                <w:p>
                  <w:pPr>
                    <w:jc w:val="center"/>
                  </w:pPr>
                  <w:r>
                    <w:rPr>
                      <w:rFonts w:ascii="Arial" w:cs="Arial" w:eastAsia="Arial" w:hAnsi="Arial"/>
                      <w:color w:val="2D3748"/>
                      <w:sz w:val="18"/>
                      <w:szCs w:val="18"/>
                    </w:rPr>
                    <w:t xml:space="preserve">8177 primary · 8175 operational</w:t>
                  </w:r>
                </w:p>
              </w:tc>
            </w:tr>
          </w:tbl>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color w:val="2D3748"/>
                <w:sz w:val="20"/>
                <w:szCs w:val="20"/>
              </w:rPr>
              <w:t xml:space="preserve">Tasks — 8175</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 (operational participants)</w:t>
            </w:r>
          </w:p>
        </w:tc>
      </w:tr>
      <w:tr>
        <w:tc>
          <w:tcPr>
            <w:tcW w:type="dxa" w:w="20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color w:val="2D3748"/>
                <w:sz w:val="20"/>
                <w:szCs w:val="20"/>
              </w:rPr>
              <w:t xml:space="preserve">Tasks — 8177</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92–101</w:t>
            </w:r>
          </w:p>
        </w:tc>
      </w:tr>
      <w:tr>
        <w:tc>
          <w:tcPr>
            <w:tcW w:type="dxa" w:w="20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color w:val="2D3748"/>
                <w:sz w:val="20"/>
                <w:szCs w:val="20"/>
              </w:rPr>
              <w:t xml:space="preserve">Overlap type</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8177 only</w:t>
            </w:r>
          </w:p>
        </w:tc>
      </w:tr>
      <w:tr>
        <w:tc>
          <w:tcPr>
            <w:tcW w:type="dxa" w:w="20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color w:val="2D3748"/>
                <w:sz w:val="20"/>
                <w:szCs w:val="20"/>
              </w:rPr>
              <w:t xml:space="preserve">Chain node</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Strategy / Synthesis — the live event is the entire supply chain running simultaneously</w:t>
            </w:r>
          </w:p>
        </w:tc>
      </w:tr>
    </w:tbl>
    <w:p>
      <w:pPr>
        <w:spacing w:after="0" w:before="120"/>
      </w:pPr>
      <w:r>
        <w:t xml:space="preserve"/>
      </w:r>
    </w:p>
    <w:p>
      <w:pPr>
        <w:pBdr>
          <w:bottom w:val="single" w:color="44337A" w:sz="4" w:space="2"/>
        </w:pBdr>
        <w:spacing w:after="60" w:before="200"/>
      </w:pPr>
      <w:r>
        <w:rPr>
          <w:rFonts w:ascii="Arial" w:cs="Arial" w:eastAsia="Arial" w:hAnsi="Arial"/>
          <w:b/>
          <w:bCs/>
          <w:color w:val="44337A"/>
          <w:sz w:val="20"/>
          <w:szCs w:val="20"/>
        </w:rPr>
        <w:t xml:space="preserve">LEARNING OBJECTIVES</w:t>
      </w:r>
    </w:p>
    <w:p>
      <w:pPr>
        <w:spacing w:after="60" w:before="60"/>
        <w:jc w:val="left"/>
      </w:pPr>
      <w:r>
        <w:rPr>
          <w:rFonts w:ascii="Arial" w:cs="Arial" w:eastAsia="Arial" w:hAnsi="Arial"/>
          <w:b/>
          <w:bCs/>
          <w:i w:val="false"/>
          <w:iCs w:val="false"/>
          <w:color w:val="3C3489"/>
          <w:sz w:val="22"/>
          <w:szCs w:val="22"/>
        </w:rPr>
        <w:t xml:space="preserve">8175 Marketing:  </w:t>
      </w:r>
      <w:r>
        <w:rPr>
          <w:rFonts w:ascii="Arial" w:cs="Arial" w:eastAsia="Arial" w:hAnsi="Arial"/>
          <w:b w:val="false"/>
          <w:bCs w:val="false"/>
          <w:i w:val="false"/>
          <w:iCs w:val="false"/>
          <w:color w:val="000000"/>
          <w:sz w:val="22"/>
          <w:szCs w:val="22"/>
        </w:rPr>
        <w:t xml:space="preserve">No formal competency requirement — 8175 rotation students participate as operational contributors across all divisions during event execution. Their competency evidence is collected through the division work they perform, not through event management tasks.</w:t>
      </w:r>
    </w:p>
    <w:p>
      <w:pPr>
        <w:spacing w:after="60" w:before="60"/>
        <w:jc w:val="left"/>
      </w:pPr>
      <w:r>
        <w:rPr>
          <w:rFonts w:ascii="Arial" w:cs="Arial" w:eastAsia="Arial" w:hAnsi="Arial"/>
          <w:b/>
          <w:bCs/>
          <w:i w:val="false"/>
          <w:iCs w:val="false"/>
          <w:color w:val="085041"/>
          <w:sz w:val="22"/>
          <w:szCs w:val="22"/>
        </w:rPr>
        <w:t xml:space="preserve">8177 Management:  </w:t>
      </w:r>
      <w:r>
        <w:rPr>
          <w:rFonts w:ascii="Arial" w:cs="Arial" w:eastAsia="Arial" w:hAnsi="Arial"/>
          <w:b w:val="false"/>
          <w:bCs w:val="false"/>
          <w:i w:val="false"/>
          <w:iCs w:val="false"/>
          <w:color w:val="000000"/>
          <w:sz w:val="22"/>
          <w:szCs w:val="22"/>
        </w:rPr>
        <w:t xml:space="preserve">Students can explain the event planning process, describe consumer motivation factors for attendance, explain how popularity and competition affect attendance, analyze personnel needs, analyze financial resources, develop a marketing plan for an event, develop an event budget, develop post-event recognition activities, manage a live event occasion, and evaluate overall event success.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8F1" w:val="clear"/>
            <w:tcMar>
              <w:top w:type="dxa" w:w="120"/>
              <w:left w:type="dxa" w:w="160"/>
              <w:bottom w:type="dxa" w:w="120"/>
              <w:right w:type="dxa" w:w="160"/>
            </w:tcMar>
          </w:tcPr>
          <w:p>
            <w:r>
              <w:rPr>
                <w:rFonts w:ascii="Arial" w:cs="Arial" w:eastAsia="Arial" w:hAnsi="Arial"/>
                <w:b/>
                <w:bCs/>
                <w:color w:val="085041"/>
                <w:sz w:val="20"/>
                <w:szCs w:val="20"/>
              </w:rPr>
              <w:t xml:space="preserve">By the end of this unit, you will be able to:</w:t>
            </w:r>
          </w:p>
          <w:p>
            <w:pPr>
              <w:spacing w:before="60"/>
            </w:pPr>
            <w:r>
              <w:rPr>
                <w:rFonts w:ascii="Arial" w:cs="Arial" w:eastAsia="Arial" w:hAnsi="Arial"/>
                <w:i/>
                <w:iCs/>
                <w:sz w:val="20"/>
                <w:szCs w:val="20"/>
              </w:rPr>
              <w:t xml:space="preserve">Plan, execute, and evaluate a complete sports or esports event — managing personnel, finances, marketing, and operations simultaneously from the first planning meeting through the post-event debrief.</w:t>
            </w:r>
          </w:p>
        </w:tc>
      </w:tr>
    </w:tbl>
    <w:p>
      <w:pPr>
        <w:spacing w:after="0" w:before="120"/>
      </w:pPr>
      <w:r>
        <w:t xml:space="preserve"/>
      </w:r>
    </w:p>
    <w:p>
      <w:pPr>
        <w:pBdr>
          <w:bottom w:val="single" w:color="44337A" w:sz="4" w:space="2"/>
        </w:pBdr>
        <w:spacing w:after="60" w:before="200"/>
      </w:pPr>
      <w:r>
        <w:rPr>
          <w:rFonts w:ascii="Arial" w:cs="Arial" w:eastAsia="Arial" w:hAnsi="Arial"/>
          <w:b/>
          <w:bCs/>
          <w:color w:val="44337A"/>
          <w:sz w:val="20"/>
          <w:szCs w:val="20"/>
        </w:rPr>
        <w:t xml:space="preserve">WARM-UP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CE8" w:val="clear"/>
            <w:tcMar>
              <w:top w:type="dxa" w:w="120"/>
              <w:left w:type="dxa" w:w="160"/>
              <w:bottom w:type="dxa" w:w="120"/>
              <w:right w:type="dxa" w:w="160"/>
            </w:tcMar>
          </w:tcPr>
          <w:p>
            <w:pPr>
              <w:spacing w:before="0"/>
            </w:pPr>
            <w:r>
              <w:rPr>
                <w:rFonts w:ascii="Arial" w:cs="Arial" w:eastAsia="Arial" w:hAnsi="Arial"/>
                <w:i/>
                <w:iCs/>
                <w:sz w:val="20"/>
                <w:szCs w:val="20"/>
              </w:rPr>
              <w:t xml:space="preserve">The first home match happened. You have the attendance number, the revenue figure, the social reach data, and a list of three things that went wrong. The second match is six weeks away. You have the same budget, the same team, and the same venue. What changes — and how do you decide what to prioritize when everything feels important?</w:t>
            </w:r>
          </w:p>
        </w:tc>
      </w:tr>
    </w:tbl>
    <w:p>
      <w:pPr>
        <w:spacing w:after="0" w:before="120"/>
      </w:pPr>
      <w:r>
        <w:t xml:space="preserve"/>
      </w:r>
    </w:p>
    <w:p>
      <w:pPr>
        <w:spacing w:after="60" w:before="60"/>
        <w:jc w:val="left"/>
      </w:pPr>
      <w:r>
        <w:rPr>
          <w:rFonts w:ascii="Arial" w:cs="Arial" w:eastAsia="Arial" w:hAnsi="Arial"/>
          <w:b/>
          <w:bCs/>
          <w:i w:val="false"/>
          <w:iCs w:val="false"/>
          <w:color w:val="000000"/>
          <w:sz w:val="22"/>
          <w:szCs w:val="22"/>
        </w:rPr>
        <w:t xml:space="preserve">Why this matters:  </w:t>
      </w:r>
      <w:r>
        <w:rPr>
          <w:rFonts w:ascii="Arial" w:cs="Arial" w:eastAsia="Arial" w:hAnsi="Arial"/>
          <w:b w:val="false"/>
          <w:bCs w:val="false"/>
          <w:i/>
          <w:iCs/>
          <w:color w:val="555555"/>
          <w:sz w:val="22"/>
          <w:szCs w:val="22"/>
        </w:rPr>
        <w:t xml:space="preserve">Event planning and management is the 8177 capstone because a live event is the only context where every prior stage runs simultaneously. Brand identity is on the signage. Pricing is on the merchandise table. Digital channels are streaming. Safety protocols are active. Customer service is happening in real time. The marketing plan is being executed. Managing all of that at once — with students in each role — is what the entire year has been building toward.</w:t>
      </w:r>
    </w:p>
    <w:p>
      <w:pPr>
        <w:spacing w:after="0" w:before="120"/>
      </w:pPr>
      <w:r>
        <w:t xml:space="preserve"/>
      </w:r>
    </w:p>
    <w:p>
      <w:pPr>
        <w:pBdr>
          <w:bottom w:val="single" w:color="44337A" w:sz="4" w:space="2"/>
        </w:pBdr>
        <w:spacing w:after="60" w:before="200"/>
      </w:pPr>
      <w:r>
        <w:rPr>
          <w:rFonts w:ascii="Arial" w:cs="Arial" w:eastAsia="Arial" w:hAnsi="Arial"/>
          <w:b/>
          <w:bCs/>
          <w:color w:val="44337A"/>
          <w:sz w:val="20"/>
          <w:szCs w:val="20"/>
        </w:rPr>
        <w:t xml:space="preserve">CORE CONTENT</w:t>
      </w:r>
    </w:p>
    <w:p>
      <w:pPr>
        <w:pStyle w:val="ListParagraph"/>
        <w:numPr>
          <w:ilvl w:val="0"/>
          <w:numId w:val="2"/>
        </w:numPr>
        <w:spacing w:after="40" w:before="40"/>
      </w:pPr>
      <w:r>
        <w:rPr>
          <w:rFonts w:ascii="Arial" w:cs="Arial" w:eastAsia="Arial" w:hAnsi="Arial"/>
          <w:sz w:val="22"/>
          <w:szCs w:val="22"/>
        </w:rPr>
        <w:t xml:space="preserve">The event planning process (Task 92) has six phases: conceptualization (what is the event and why?), planning (logistics, personnel, budget, marketing), promotion (building awareness and driving attendance), production (setup, execution, on-site management), post-event (teardown, revenue reconciliation, thank-yous), and evaluation (did it achieve its objectives?). The first home match completed all six. Every subsequent match is an opportunity to improve.</w:t>
      </w:r>
    </w:p>
    <w:p>
      <w:pPr>
        <w:pStyle w:val="ListParagraph"/>
        <w:numPr>
          <w:ilvl w:val="0"/>
          <w:numId w:val="2"/>
        </w:numPr>
        <w:spacing w:after="40" w:before="40"/>
      </w:pPr>
      <w:r>
        <w:rPr>
          <w:rFonts w:ascii="Arial" w:cs="Arial" w:eastAsia="Arial" w:hAnsi="Arial"/>
          <w:sz w:val="22"/>
          <w:szCs w:val="22"/>
        </w:rPr>
        <w:t xml:space="preserve">Consumer motivation factors (Task 93): people attend events for multiple overlapping reasons — competition and spectacle, community and belonging, social experience, FOMO (fear of missing out), and investment in a team or player they care about. Understanding which motivations drive the school community's attendance informs every promotional and experiential decision.</w:t>
      </w:r>
    </w:p>
    <w:p>
      <w:pPr>
        <w:pStyle w:val="ListParagraph"/>
        <w:numPr>
          <w:ilvl w:val="0"/>
          <w:numId w:val="2"/>
        </w:numPr>
        <w:spacing w:after="40" w:before="40"/>
      </w:pPr>
      <w:r>
        <w:rPr>
          <w:rFonts w:ascii="Arial" w:cs="Arial" w:eastAsia="Arial" w:hAnsi="Arial"/>
          <w:sz w:val="22"/>
          <w:szCs w:val="22"/>
        </w:rPr>
        <w:t xml:space="preserve">Popularity and competitive factors (Task 94): attendance at the second match is shaped by the first match's word-of-mouth, the quality of the first match's competition, and whether any competing school events are scheduled on the same day. Management students build a competitive calendar — what other events in the school year could cannibalize their audience — and plan around it.</w:t>
      </w:r>
    </w:p>
    <w:p>
      <w:pPr>
        <w:pStyle w:val="ListParagraph"/>
        <w:numPr>
          <w:ilvl w:val="0"/>
          <w:numId w:val="2"/>
        </w:numPr>
        <w:spacing w:after="40" w:before="40"/>
      </w:pPr>
      <w:r>
        <w:rPr>
          <w:rFonts w:ascii="Arial" w:cs="Arial" w:eastAsia="Arial" w:hAnsi="Arial"/>
          <w:sz w:val="22"/>
          <w:szCs w:val="22"/>
        </w:rPr>
        <w:t xml:space="preserve">Personnel analysis (Task 95): how many people does it take to run a home match? Students map every role — setup, merchandise, streaming, safety, operations, score tracking, social posting — and assign them from the available division roster. Gaps in coverage are identified before the event, not during.</w:t>
      </w:r>
    </w:p>
    <w:p>
      <w:pPr>
        <w:pStyle w:val="ListParagraph"/>
        <w:numPr>
          <w:ilvl w:val="0"/>
          <w:numId w:val="2"/>
        </w:numPr>
        <w:spacing w:after="40" w:before="40"/>
      </w:pPr>
      <w:r>
        <w:rPr>
          <w:rFonts w:ascii="Arial" w:cs="Arial" w:eastAsia="Arial" w:hAnsi="Arial"/>
          <w:sz w:val="22"/>
          <w:szCs w:val="22"/>
        </w:rPr>
        <w:t xml:space="preserve">Financial resource analysis (Task 96): what does each event cost to produce, and what is the minimum revenue required to break even? Students build an event-specific P&amp;L — projected and actual — for every home match. The goal is not to maximize profit from event one; it is to understand the cost structure so each subsequent event is more efficient.</w:t>
      </w:r>
    </w:p>
    <w:p>
      <w:pPr>
        <w:pStyle w:val="ListParagraph"/>
        <w:numPr>
          <w:ilvl w:val="0"/>
          <w:numId w:val="2"/>
        </w:numPr>
        <w:spacing w:after="40" w:before="40"/>
      </w:pPr>
      <w:r>
        <w:rPr>
          <w:rFonts w:ascii="Arial" w:cs="Arial" w:eastAsia="Arial" w:hAnsi="Arial"/>
          <w:sz w:val="22"/>
          <w:szCs w:val="22"/>
        </w:rPr>
        <w:t xml:space="preserve">Post-event recognition (Task 99): the participants — players, volunteers, staff, sponsors — all contributed to making the event happen. A formal thank-you process (social post acknowledgment, personal messages, recognition at the next event) builds the culture and the relationships that make subsequent events easier to run.</w:t>
      </w:r>
    </w:p>
    <w:p>
      <w:pPr>
        <w:pStyle w:val="ListParagraph"/>
        <w:numPr>
          <w:ilvl w:val="0"/>
          <w:numId w:val="2"/>
        </w:numPr>
        <w:spacing w:after="40" w:before="40"/>
      </w:pPr>
      <w:r>
        <w:rPr>
          <w:rFonts w:ascii="Arial" w:cs="Arial" w:eastAsia="Arial" w:hAnsi="Arial"/>
          <w:sz w:val="22"/>
          <w:szCs w:val="22"/>
        </w:rPr>
        <w:t xml:space="preserve">Event evaluation (Task 101, optional): did the event achieve its objectives? Students complete a formal post-event evaluation covering attendance vs. goal, revenue vs. budget, operational efficiency, promotional effectiveness, and audience satisfaction. This document feeds the next event's planning process and the year-end administrator report.</w:t>
      </w:r>
    </w:p>
    <w:p>
      <w:pPr>
        <w:spacing w:after="0" w:before="120"/>
      </w:pPr>
      <w:r>
        <w:t xml:space="preserve"/>
      </w:r>
    </w:p>
    <w:p>
      <w:pPr>
        <w:pBdr>
          <w:bottom w:val="single" w:color="44337A" w:sz="4" w:space="2"/>
        </w:pBdr>
        <w:spacing w:after="60" w:before="200"/>
      </w:pPr>
      <w:r>
        <w:rPr>
          <w:rFonts w:ascii="Arial" w:cs="Arial" w:eastAsia="Arial" w:hAnsi="Arial"/>
          <w:b/>
          <w:bCs/>
          <w:color w:val="44337A"/>
          <w:sz w:val="20"/>
          <w:szCs w:val="20"/>
        </w:rPr>
        <w:t xml:space="preserve">EVENT RUN-OF-SHOW TEMPLATE</w:t>
      </w:r>
    </w:p>
    <w:p>
      <w:pPr>
        <w:spacing w:after="60" w:before="60"/>
        <w:jc w:val="left"/>
      </w:pPr>
      <w:r>
        <w:rPr>
          <w:rFonts w:ascii="Arial" w:cs="Arial" w:eastAsia="Arial" w:hAnsi="Arial"/>
          <w:b w:val="false"/>
          <w:bCs w:val="false"/>
          <w:i/>
          <w:iCs/>
          <w:color w:val="555555"/>
          <w:sz w:val="22"/>
          <w:szCs w:val="22"/>
        </w:rPr>
        <w:t xml:space="preserve">Complete this template for every home match. Times are relative to match start (T=0). Update the Status column in real time during the event.</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3560"/>
        <w:gridCol w:w="2000"/>
        <w:gridCol w:w="1000"/>
      </w:tblGrid>
      <w:tr>
        <w:tc>
          <w:tcPr>
            <w:tcW w:type="dxa" w:w="1200"/>
            <w:tcBorders>
              <w:top w:val="single" w:color="CCCCCC" w:sz="1"/>
              <w:left w:val="single" w:color="CCCCCC" w:sz="1"/>
              <w:bottom w:val="single" w:color="CCCCCC" w:sz="1"/>
              <w:right w:val="single" w:color="CCCCCC" w:sz="1"/>
            </w:tcBorders>
            <w:shd w:fill="44337A" w:val="clear"/>
            <w:tcMar>
              <w:top w:type="dxa" w:w="100"/>
              <w:left w:type="dxa" w:w="140"/>
              <w:bottom w:type="dxa" w:w="100"/>
              <w:right w:type="dxa" w:w="140"/>
            </w:tcMar>
          </w:tcPr>
          <w:p>
            <w:r>
              <w:rPr>
                <w:rFonts w:ascii="Arial" w:cs="Arial" w:eastAsia="Arial" w:hAnsi="Arial"/>
                <w:b/>
                <w:bCs/>
                <w:color w:val="FFFFFF"/>
                <w:sz w:val="18"/>
                <w:szCs w:val="18"/>
              </w:rPr>
              <w:t xml:space="preserve">Time</w:t>
            </w:r>
          </w:p>
        </w:tc>
        <w:tc>
          <w:tcPr>
            <w:tcW w:type="dxa" w:w="1600"/>
            <w:tcBorders>
              <w:top w:val="single" w:color="CCCCCC" w:sz="1"/>
              <w:left w:val="single" w:color="CCCCCC" w:sz="1"/>
              <w:bottom w:val="single" w:color="CCCCCC" w:sz="1"/>
              <w:right w:val="single" w:color="CCCCCC" w:sz="1"/>
            </w:tcBorders>
            <w:shd w:fill="44337A" w:val="clear"/>
            <w:tcMar>
              <w:top w:type="dxa" w:w="100"/>
              <w:left w:type="dxa" w:w="140"/>
              <w:bottom w:type="dxa" w:w="100"/>
              <w:right w:type="dxa" w:w="140"/>
            </w:tcMar>
          </w:tcPr>
          <w:p>
            <w:r>
              <w:rPr>
                <w:rFonts w:ascii="Arial" w:cs="Arial" w:eastAsia="Arial" w:hAnsi="Arial"/>
                <w:b/>
                <w:bCs/>
                <w:color w:val="FFFFFF"/>
                <w:sz w:val="18"/>
                <w:szCs w:val="18"/>
              </w:rPr>
              <w:t xml:space="preserve">Duration</w:t>
            </w:r>
          </w:p>
        </w:tc>
        <w:tc>
          <w:tcPr>
            <w:tcW w:type="dxa" w:w="3560"/>
            <w:tcBorders>
              <w:top w:val="single" w:color="CCCCCC" w:sz="1"/>
              <w:left w:val="single" w:color="CCCCCC" w:sz="1"/>
              <w:bottom w:val="single" w:color="CCCCCC" w:sz="1"/>
              <w:right w:val="single" w:color="CCCCCC" w:sz="1"/>
            </w:tcBorders>
            <w:shd w:fill="44337A" w:val="clear"/>
            <w:tcMar>
              <w:top w:type="dxa" w:w="100"/>
              <w:left w:type="dxa" w:w="140"/>
              <w:bottom w:type="dxa" w:w="100"/>
              <w:right w:type="dxa" w:w="140"/>
            </w:tcMar>
          </w:tcPr>
          <w:p>
            <w:r>
              <w:rPr>
                <w:rFonts w:ascii="Arial" w:cs="Arial" w:eastAsia="Arial" w:hAnsi="Arial"/>
                <w:b/>
                <w:bCs/>
                <w:color w:val="FFFFFF"/>
                <w:sz w:val="18"/>
                <w:szCs w:val="18"/>
              </w:rPr>
              <w:t xml:space="preserve">Activity</w:t>
            </w:r>
          </w:p>
        </w:tc>
        <w:tc>
          <w:tcPr>
            <w:tcW w:type="dxa" w:w="2000"/>
            <w:tcBorders>
              <w:top w:val="single" w:color="CCCCCC" w:sz="1"/>
              <w:left w:val="single" w:color="CCCCCC" w:sz="1"/>
              <w:bottom w:val="single" w:color="CCCCCC" w:sz="1"/>
              <w:right w:val="single" w:color="CCCCCC" w:sz="1"/>
            </w:tcBorders>
            <w:shd w:fill="44337A" w:val="clear"/>
            <w:tcMar>
              <w:top w:type="dxa" w:w="100"/>
              <w:left w:type="dxa" w:w="140"/>
              <w:bottom w:type="dxa" w:w="100"/>
              <w:right w:type="dxa" w:w="140"/>
            </w:tcMar>
          </w:tcPr>
          <w:p>
            <w:r>
              <w:rPr>
                <w:rFonts w:ascii="Arial" w:cs="Arial" w:eastAsia="Arial" w:hAnsi="Arial"/>
                <w:b/>
                <w:bCs/>
                <w:color w:val="FFFFFF"/>
                <w:sz w:val="18"/>
                <w:szCs w:val="18"/>
              </w:rPr>
              <w:t xml:space="preserve">Owner</w:t>
            </w:r>
          </w:p>
        </w:tc>
        <w:tc>
          <w:tcPr>
            <w:tcW w:type="dxa" w:w="1000"/>
            <w:tcBorders>
              <w:top w:val="single" w:color="CCCCCC" w:sz="1"/>
              <w:left w:val="single" w:color="CCCCCC" w:sz="1"/>
              <w:bottom w:val="single" w:color="CCCCCC" w:sz="1"/>
              <w:right w:val="single" w:color="CCCCCC" w:sz="1"/>
            </w:tcBorders>
            <w:shd w:fill="44337A" w:val="clear"/>
            <w:tcMar>
              <w:top w:type="dxa" w:w="100"/>
              <w:left w:type="dxa" w:w="140"/>
              <w:bottom w:type="dxa" w:w="100"/>
              <w:right w:type="dxa" w:w="140"/>
            </w:tcMar>
          </w:tcPr>
          <w:p>
            <w:r>
              <w:rPr>
                <w:rFonts w:ascii="Arial" w:cs="Arial" w:eastAsia="Arial" w:hAnsi="Arial"/>
                <w:b/>
                <w:bCs/>
                <w:color w:val="FFFFFF"/>
                <w:sz w:val="18"/>
                <w:szCs w:val="18"/>
              </w:rPr>
              <w:t xml:space="preserve">Status</w:t>
            </w:r>
          </w:p>
        </w:tc>
      </w:tr>
      <w:tr>
        <w:tc>
          <w:tcPr>
            <w:tcW w:type="dxa" w:w="12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sz w:val="17"/>
                <w:szCs w:val="17"/>
              </w:rPr>
              <w:t xml:space="preserve">T-60 min</w:t>
            </w:r>
          </w:p>
        </w:tc>
        <w:tc>
          <w:tcPr>
            <w:tcW w:type="dxa" w:w="1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sz w:val="17"/>
                <w:szCs w:val="17"/>
              </w:rPr>
              <w:t xml:space="preserve">30 min</w:t>
            </w:r>
          </w:p>
        </w:tc>
        <w:tc>
          <w:tcPr>
            <w:tcW w:type="dxa" w:w="356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sz w:val="17"/>
                <w:szCs w:val="17"/>
              </w:rPr>
              <w:t xml:space="preserve">Venue setup: table placement, equipment test, signage installation</w:t>
            </w:r>
          </w:p>
        </w:tc>
        <w:tc>
          <w:tcPr>
            <w:tcW w:type="dxa" w:w="20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sz w:val="17"/>
                <w:szCs w:val="17"/>
              </w:rPr>
              <w:t xml:space="preserve">Events Mgr</w:t>
            </w:r>
          </w:p>
        </w:tc>
        <w:tc>
          <w:tcPr>
            <w:tcW w:type="dxa" w:w="10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sz w:val="17"/>
                <w:szCs w:val="17"/>
              </w:rPr>
              <w:t xml:space="preserve"/>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7"/>
                <w:szCs w:val="17"/>
              </w:rPr>
              <w:t xml:space="preserve">T-30 min</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7"/>
                <w:szCs w:val="17"/>
              </w:rPr>
              <w:t xml:space="preserve">15 min</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7"/>
                <w:szCs w:val="17"/>
              </w:rPr>
              <w:t xml:space="preserve">Merchandise table setup and inventory check</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7"/>
                <w:szCs w:val="17"/>
              </w:rPr>
              <w:t xml:space="preserve">Store Mgr / Sales</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7"/>
                <w:szCs w:val="17"/>
              </w:rPr>
              <w:t xml:space="preserve"/>
            </w:r>
          </w:p>
        </w:tc>
      </w:tr>
      <w:tr>
        <w:tc>
          <w:tcPr>
            <w:tcW w:type="dxa" w:w="12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sz w:val="17"/>
                <w:szCs w:val="17"/>
              </w:rPr>
              <w:t xml:space="preserve">T-15 min</w:t>
            </w:r>
          </w:p>
        </w:tc>
        <w:tc>
          <w:tcPr>
            <w:tcW w:type="dxa" w:w="1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sz w:val="17"/>
                <w:szCs w:val="17"/>
              </w:rPr>
              <w:t xml:space="preserve">10 min</w:t>
            </w:r>
          </w:p>
        </w:tc>
        <w:tc>
          <w:tcPr>
            <w:tcW w:type="dxa" w:w="356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sz w:val="17"/>
                <w:szCs w:val="17"/>
              </w:rPr>
              <w:t xml:space="preserve">Streaming test: audio, video, overlay, backup plan confirmed</w:t>
            </w:r>
          </w:p>
        </w:tc>
        <w:tc>
          <w:tcPr>
            <w:tcW w:type="dxa" w:w="20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sz w:val="17"/>
                <w:szCs w:val="17"/>
              </w:rPr>
              <w:t xml:space="preserve">Media &amp; PR</w:t>
            </w:r>
          </w:p>
        </w:tc>
        <w:tc>
          <w:tcPr>
            <w:tcW w:type="dxa" w:w="10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sz w:val="17"/>
                <w:szCs w:val="17"/>
              </w:rPr>
              <w:t xml:space="preserve"/>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7"/>
                <w:szCs w:val="17"/>
              </w:rPr>
              <w:t xml:space="preserve">T-5 min</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7"/>
                <w:szCs w:val="17"/>
              </w:rPr>
              <w:t xml:space="preserve">5 min</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7"/>
                <w:szCs w:val="17"/>
              </w:rPr>
              <w:t xml:space="preserve">Safety roles briefed, incident command confirmed</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7"/>
                <w:szCs w:val="17"/>
              </w:rPr>
              <w:t xml:space="preserve">Gen. Manager</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7"/>
                <w:szCs w:val="17"/>
              </w:rPr>
              <w:t xml:space="preserve"/>
            </w:r>
          </w:p>
        </w:tc>
      </w:tr>
      <w:tr>
        <w:tc>
          <w:tcPr>
            <w:tcW w:type="dxa" w:w="12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sz w:val="17"/>
                <w:szCs w:val="17"/>
              </w:rPr>
              <w:t xml:space="preserve">Match start</w:t>
            </w:r>
          </w:p>
        </w:tc>
        <w:tc>
          <w:tcPr>
            <w:tcW w:type="dxa" w:w="1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sz w:val="17"/>
                <w:szCs w:val="17"/>
              </w:rPr>
              <w:t xml:space="preserve">Varies</w:t>
            </w:r>
          </w:p>
        </w:tc>
        <w:tc>
          <w:tcPr>
            <w:tcW w:type="dxa" w:w="356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sz w:val="17"/>
                <w:szCs w:val="17"/>
              </w:rPr>
              <w:t xml:space="preserve">Competition — streaming live, merchandise table active</w:t>
            </w:r>
          </w:p>
        </w:tc>
        <w:tc>
          <w:tcPr>
            <w:tcW w:type="dxa" w:w="20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sz w:val="17"/>
                <w:szCs w:val="17"/>
              </w:rPr>
              <w:t xml:space="preserve">All divisions</w:t>
            </w:r>
          </w:p>
        </w:tc>
        <w:tc>
          <w:tcPr>
            <w:tcW w:type="dxa" w:w="10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sz w:val="17"/>
                <w:szCs w:val="17"/>
              </w:rPr>
              <w:t xml:space="preserve"/>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7"/>
                <w:szCs w:val="17"/>
              </w:rPr>
              <w:t xml:space="preserve">Halftime</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7"/>
                <w:szCs w:val="17"/>
              </w:rPr>
              <w:t xml:space="preserve">15 min</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7"/>
                <w:szCs w:val="17"/>
              </w:rPr>
              <w:t xml:space="preserve">Sales push — bundle offer announced, social post published</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7"/>
                <w:szCs w:val="17"/>
              </w:rPr>
              <w:t xml:space="preserve">Sales / Media</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7"/>
                <w:szCs w:val="17"/>
              </w:rPr>
              <w:t xml:space="preserve"/>
            </w:r>
          </w:p>
        </w:tc>
      </w:tr>
      <w:tr>
        <w:tc>
          <w:tcPr>
            <w:tcW w:type="dxa" w:w="12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sz w:val="17"/>
                <w:szCs w:val="17"/>
              </w:rPr>
              <w:t xml:space="preserve">Match end</w:t>
            </w:r>
          </w:p>
        </w:tc>
        <w:tc>
          <w:tcPr>
            <w:tcW w:type="dxa" w:w="1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sz w:val="17"/>
                <w:szCs w:val="17"/>
              </w:rPr>
              <w:t xml:space="preserve">20 min</w:t>
            </w:r>
          </w:p>
        </w:tc>
        <w:tc>
          <w:tcPr>
            <w:tcW w:type="dxa" w:w="356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sz w:val="17"/>
                <w:szCs w:val="17"/>
              </w:rPr>
              <w:t xml:space="preserve">Post-match content capture, thank-you announcements</w:t>
            </w:r>
          </w:p>
        </w:tc>
        <w:tc>
          <w:tcPr>
            <w:tcW w:type="dxa" w:w="20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sz w:val="17"/>
                <w:szCs w:val="17"/>
              </w:rPr>
              <w:t xml:space="preserve">Media &amp; PR</w:t>
            </w:r>
          </w:p>
        </w:tc>
        <w:tc>
          <w:tcPr>
            <w:tcW w:type="dxa" w:w="10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sz w:val="17"/>
                <w:szCs w:val="17"/>
              </w:rPr>
              <w:t xml:space="preserve"/>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7"/>
                <w:szCs w:val="17"/>
              </w:rPr>
              <w:t xml:space="preserve">T+20 min</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7"/>
                <w:szCs w:val="17"/>
              </w:rPr>
              <w:t xml:space="preserve">15 min</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7"/>
                <w:szCs w:val="17"/>
              </w:rPr>
              <w:t xml:space="preserve">Revenue reconciliation, inventory return, venue cleanup</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7"/>
                <w:szCs w:val="17"/>
              </w:rPr>
              <w:t xml:space="preserve">Store / Events</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7"/>
                <w:szCs w:val="17"/>
              </w:rPr>
              <w:t xml:space="preserve"/>
            </w:r>
          </w:p>
        </w:tc>
      </w:tr>
      <w:tr>
        <w:tc>
          <w:tcPr>
            <w:tcW w:type="dxa" w:w="12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sz w:val="17"/>
                <w:szCs w:val="17"/>
              </w:rPr>
              <w:t xml:space="preserve">T+35 min</w:t>
            </w:r>
          </w:p>
        </w:tc>
        <w:tc>
          <w:tcPr>
            <w:tcW w:type="dxa" w:w="1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sz w:val="17"/>
                <w:szCs w:val="17"/>
              </w:rPr>
              <w:t xml:space="preserve">15 min</w:t>
            </w:r>
          </w:p>
        </w:tc>
        <w:tc>
          <w:tcPr>
            <w:tcW w:type="dxa" w:w="356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sz w:val="17"/>
                <w:szCs w:val="17"/>
              </w:rPr>
              <w:t xml:space="preserve">Debrief — what worked, what didn't, next match priority</w:t>
            </w:r>
          </w:p>
        </w:tc>
        <w:tc>
          <w:tcPr>
            <w:tcW w:type="dxa" w:w="20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sz w:val="17"/>
                <w:szCs w:val="17"/>
              </w:rPr>
              <w:t xml:space="preserve">Gen. Manager</w:t>
            </w:r>
          </w:p>
        </w:tc>
        <w:tc>
          <w:tcPr>
            <w:tcW w:type="dxa" w:w="10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sz w:val="17"/>
                <w:szCs w:val="17"/>
              </w:rPr>
              <w:t xml:space="preserve"/>
            </w:r>
          </w:p>
        </w:tc>
      </w:tr>
    </w:tbl>
    <w:p>
      <w:pPr>
        <w:spacing w:after="0" w:before="120"/>
      </w:pPr>
      <w:r>
        <w:t xml:space="preserve"/>
      </w:r>
    </w:p>
    <w:p>
      <w:pPr>
        <w:pBdr>
          <w:bottom w:val="single" w:color="44337A" w:sz="4" w:space="2"/>
        </w:pBdr>
        <w:spacing w:after="60" w:before="200"/>
      </w:pPr>
      <w:r>
        <w:rPr>
          <w:rFonts w:ascii="Arial" w:cs="Arial" w:eastAsia="Arial" w:hAnsi="Arial"/>
          <w:b/>
          <w:bCs/>
          <w:color w:val="44337A"/>
          <w:sz w:val="20"/>
          <w:szCs w:val="20"/>
        </w:rPr>
        <w:t xml:space="preserve">DIVISION CONTEXT — WHERE THIS LIVES IN THE CONGLOMERATE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color w:val="2D3748"/>
                <w:sz w:val="20"/>
                <w:szCs w:val="20"/>
              </w:rPr>
              <w:t xml:space="preserve">Active in</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Events Division + Esports Division (primary) + all divisions (operational)</w:t>
            </w:r>
          </w:p>
        </w:tc>
      </w:tr>
      <w:tr>
        <w:tc>
          <w:tcPr>
            <w:tcW w:type="dxa" w:w="20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color w:val="2D3748"/>
                <w:sz w:val="20"/>
                <w:szCs w:val="20"/>
              </w:rPr>
              <w:t xml:space="preserve">What students do</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Students plan and execute the full sequence of home matches for the league season. Each match is treated as a distinct event with its own planning cycle — personnel analysis, budget, marketing plan, run-of-show, and post-event evaluation. The General Manager chairs the planning meeting for each match. Division managers report their division's readiness status. The run-of-show template above is completed and distributed before every event.</w:t>
            </w:r>
          </w:p>
        </w:tc>
      </w:tr>
      <w:tr>
        <w:tc>
          <w:tcPr>
            <w:tcW w:type="dxa" w:w="20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color w:val="2D3748"/>
                <w:sz w:val="20"/>
                <w:szCs w:val="20"/>
              </w:rPr>
              <w:t xml:space="preserve">Esports connection</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The esports match is both the product and the organizing context. The League Manager runs the competitive structure — seeding, brackets, rules enforcement, score tracking. The Events Manager runs the operational structure — venue, setup, teardown, safety. Media &amp; PR runs the content structure — streaming, social, match coverage. All three must coordinate without stepping on each other's authority, which requires the role charters from Stage 0 to be well-defined and respected.</w:t>
            </w:r>
          </w:p>
        </w:tc>
      </w:tr>
      <w:tr>
        <w:tc>
          <w:tcPr>
            <w:tcW w:type="dxa" w:w="20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color w:val="2D3748"/>
                <w:sz w:val="20"/>
                <w:szCs w:val="20"/>
              </w:rPr>
              <w:t xml:space="preserve">Connects to</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Stage 9 (Career) — students who have planned and executed multiple live events have a concrete, documentable WBL experience. The post-event evaluations become a portfolio of real operational work. The administrator receives a cumulative event report showing improvement from match one through the season's final event.</w:t>
            </w:r>
          </w:p>
        </w:tc>
      </w:tr>
    </w:tbl>
    <w:p>
      <w:pPr>
        <w:spacing w:after="0" w:before="120"/>
      </w:pPr>
      <w:r>
        <w:t xml:space="preserve"/>
      </w:r>
    </w:p>
    <w:p>
      <w:pPr>
        <w:pBdr>
          <w:bottom w:val="single" w:color="44337A" w:sz="4" w:space="2"/>
        </w:pBdr>
        <w:spacing w:after="60" w:before="200"/>
      </w:pPr>
      <w:r>
        <w:rPr>
          <w:rFonts w:ascii="Arial" w:cs="Arial" w:eastAsia="Arial" w:hAnsi="Arial"/>
          <w:b/>
          <w:bCs/>
          <w:color w:val="44337A"/>
          <w:sz w:val="20"/>
          <w:szCs w:val="20"/>
        </w:rPr>
        <w:t xml:space="preserve">WORK-BASED LEARNING CONNECTION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color w:val="2D3748"/>
                <w:sz w:val="20"/>
                <w:szCs w:val="20"/>
              </w:rPr>
              <w:t xml:space="preserve">WBL type</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Full event planning cycle — repeated for each home match</w:t>
            </w:r>
          </w:p>
        </w:tc>
      </w:tr>
      <w:tr>
        <w:tc>
          <w:tcPr>
            <w:tcW w:type="dxa" w:w="20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color w:val="2D3748"/>
                <w:sz w:val="20"/>
                <w:szCs w:val="20"/>
              </w:rPr>
              <w:t xml:space="preserve">Work product</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Five deliverables per event, accumulated across the season: (1) Personnel plan — role assignments, backup assignments, and briefing notes for every position. (2) Event budget — projected and actual P&amp;L. (3) Event marketing plan — adapted from the Stage 8 Card 1 framework for each specific match. (4) Run-of-show — completed template with timestamps, activities, owners, and status tracking. (5) Post-event evaluation — attendance, revenue, operational, and promotional assessment with specific recommendations for the next event.</w:t>
            </w:r>
          </w:p>
        </w:tc>
      </w:tr>
      <w:tr>
        <w:tc>
          <w:tcPr>
            <w:tcW w:type="dxa" w:w="20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color w:val="2D3748"/>
                <w:sz w:val="20"/>
                <w:szCs w:val="20"/>
              </w:rPr>
              <w:t xml:space="preserve">8175 role</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All 8175 rotation students operate in their assigned division roles during each event — not as event managers, but as the operational staff the Events Manager coordinates. Their performance is assessed through their division deliverables (merchandise table sales report, promotional content produced, streaming uptime) rather than through event management tasks.</w:t>
            </w:r>
          </w:p>
        </w:tc>
      </w:tr>
      <w:tr>
        <w:tc>
          <w:tcPr>
            <w:tcW w:type="dxa" w:w="20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color w:val="2D3748"/>
                <w:sz w:val="20"/>
                <w:szCs w:val="20"/>
              </w:rPr>
              <w:t xml:space="preserve">8177 role</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Events Manager owns the run-of-show and personnel plan. General Manager chairs planning meetings and owns the post-event evaluation. Store Manager owns event P&amp;L. League Manager owns competitive operations. All 8177 students complete the financial resource analysis (Task 96) and post-event recognition activities (Task 99) for every home match. Tasks 100 and 101 (managing and evaluating the occasion) are assessed on the final match of the season as the capstone performance assessment.</w:t>
            </w:r>
          </w:p>
        </w:tc>
      </w:tr>
    </w:tbl>
    <w:p>
      <w:pPr>
        <w:spacing w:after="0" w:before="120"/>
      </w:pPr>
      <w:r>
        <w:t xml:space="preserve"/>
      </w:r>
    </w:p>
    <w:p>
      <w:pPr>
        <w:pBdr>
          <w:bottom w:val="single" w:color="44337A" w:sz="4" w:space="2"/>
        </w:pBdr>
        <w:spacing w:after="60" w:before="200"/>
      </w:pPr>
      <w:r>
        <w:rPr>
          <w:rFonts w:ascii="Arial" w:cs="Arial" w:eastAsia="Arial" w:hAnsi="Arial"/>
          <w:b/>
          <w:bCs/>
          <w:color w:val="44337A"/>
          <w:sz w:val="20"/>
          <w:szCs w:val="20"/>
        </w:rPr>
        <w:t xml:space="preserve">EQUIPMENT IN USE</w:t>
      </w:r>
    </w:p>
    <w:p>
      <w:pPr>
        <w:pStyle w:val="ListParagraph"/>
        <w:numPr>
          <w:ilvl w:val="0"/>
          <w:numId w:val="2"/>
        </w:numPr>
        <w:spacing w:after="40" w:before="40"/>
      </w:pPr>
      <w:r>
        <w:rPr>
          <w:rFonts w:ascii="Arial" w:cs="Arial" w:eastAsia="Arial" w:hAnsi="Arial"/>
          <w:sz w:val="22"/>
          <w:szCs w:val="22"/>
        </w:rPr>
        <w:t xml:space="preserve">All six computers — competition (2), streaming (1), social media/content (1), score tracking and bracket management (1), event administration/communications (1)</w:t>
      </w:r>
    </w:p>
    <w:p>
      <w:pPr>
        <w:pStyle w:val="ListParagraph"/>
        <w:numPr>
          <w:ilvl w:val="0"/>
          <w:numId w:val="2"/>
        </w:numPr>
        <w:spacing w:after="40" w:before="40"/>
      </w:pPr>
      <w:r>
        <w:rPr>
          <w:rFonts w:ascii="Arial" w:cs="Arial" w:eastAsia="Arial" w:hAnsi="Arial"/>
          <w:sz w:val="22"/>
          <w:szCs w:val="22"/>
        </w:rPr>
        <w:t xml:space="preserve">Large format printer — event signage, bracket display boards, directional signage, sponsor recognition, merchandise table displays, run-of-show printed copies for all division managers</w:t>
      </w:r>
    </w:p>
    <w:p>
      <w:pPr>
        <w:pStyle w:val="ListParagraph"/>
        <w:numPr>
          <w:ilvl w:val="0"/>
          <w:numId w:val="2"/>
        </w:numPr>
        <w:spacing w:after="40" w:before="40"/>
      </w:pPr>
      <w:r>
        <w:rPr>
          <w:rFonts w:ascii="Arial" w:cs="Arial" w:eastAsia="Arial" w:hAnsi="Arial"/>
          <w:sz w:val="22"/>
          <w:szCs w:val="22"/>
        </w:rPr>
        <w:t xml:space="preserve">Sublimation printer + heat press — any last-minute merchandise production or event-specific items (lanyards, staff identification, special edition items for milestone matches)</w:t>
      </w:r>
    </w:p>
    <w:p>
      <w:pPr>
        <w:pStyle w:val="ListParagraph"/>
        <w:numPr>
          <w:ilvl w:val="0"/>
          <w:numId w:val="2"/>
        </w:numPr>
        <w:spacing w:after="40" w:before="40"/>
      </w:pPr>
      <w:r>
        <w:rPr>
          <w:rFonts w:ascii="Arial" w:cs="Arial" w:eastAsia="Arial" w:hAnsi="Arial"/>
          <w:sz w:val="22"/>
          <w:szCs w:val="22"/>
        </w:rPr>
        <w:t xml:space="preserve">Scanner — digitize any hand-written notes, feedback forms, or incident reports from event-day for archiving</w:t>
      </w:r>
    </w:p>
    <w:p>
      <w:pPr>
        <w:spacing w:after="0" w:before="120"/>
      </w:pPr>
      <w:r>
        <w:t xml:space="preserve"/>
      </w:r>
    </w:p>
    <w:p>
      <w:pPr>
        <w:pBdr>
          <w:bottom w:val="single" w:color="44337A" w:sz="4" w:space="2"/>
        </w:pBdr>
        <w:spacing w:after="60" w:before="200"/>
      </w:pPr>
      <w:r>
        <w:rPr>
          <w:rFonts w:ascii="Arial" w:cs="Arial" w:eastAsia="Arial" w:hAnsi="Arial"/>
          <w:b/>
          <w:bCs/>
          <w:color w:val="44337A"/>
          <w:sz w:val="20"/>
          <w:szCs w:val="20"/>
        </w:rPr>
        <w:t xml:space="preserve">COURSE-SPECIFIC EXTENSION</w:t>
      </w:r>
    </w:p>
    <w:p>
      <w:pPr>
        <w:spacing w:after="60" w:before="60"/>
        <w:jc w:val="left"/>
      </w:pPr>
      <w:r>
        <w:rPr>
          <w:rFonts w:ascii="Arial" w:cs="Arial" w:eastAsia="Arial" w:hAnsi="Arial"/>
          <w:b/>
          <w:bCs/>
          <w:i w:val="false"/>
          <w:iCs w:val="false"/>
          <w:color w:val="3C3489"/>
          <w:sz w:val="22"/>
          <w:szCs w:val="22"/>
        </w:rPr>
        <w:t xml:space="preserve">8175 Marketing goes deeper on:</w:t>
      </w:r>
    </w:p>
    <w:p>
      <w:pPr>
        <w:pStyle w:val="ListParagraph"/>
        <w:numPr>
          <w:ilvl w:val="0"/>
          <w:numId w:val="2"/>
        </w:numPr>
        <w:spacing w:after="40" w:before="40"/>
      </w:pPr>
      <w:r>
        <w:rPr>
          <w:rFonts w:ascii="Arial" w:cs="Arial" w:eastAsia="Arial" w:hAnsi="Arial"/>
          <w:sz w:val="22"/>
          <w:szCs w:val="22"/>
        </w:rPr>
        <w:t xml:space="preserve">Operational contribution assessment: 8175 students are assessed on their division performance during each event — Sales rotation on merchandise table revenue, Promotions rotation on social content quality and engagement, Brand &amp; Creative on asset quality and brand consistency, Marketing Advisor on the event marketing plan section they contributed. Performance improves across events as students learn from each cycle.</w:t>
      </w:r>
    </w:p>
    <w:p>
      <w:pPr>
        <w:pStyle w:val="ListParagraph"/>
        <w:numPr>
          <w:ilvl w:val="0"/>
          <w:numId w:val="2"/>
        </w:numPr>
        <w:spacing w:after="40" w:before="40"/>
      </w:pPr>
      <w:r>
        <w:rPr>
          <w:rFonts w:ascii="Arial" w:cs="Arial" w:eastAsia="Arial" w:hAnsi="Arial"/>
          <w:sz w:val="22"/>
          <w:szCs w:val="22"/>
        </w:rPr>
        <w:t xml:space="preserve">Consumer motivation observation: during events, 8175 students in available moments observe spectator behavior — what draws people to the merchandise table, what keeps them watching, what causes them to leave early. Observations are documented and included in the post-event evaluation's audience section.</w:t>
      </w:r>
    </w:p>
    <w:p>
      <w:pPr>
        <w:spacing w:after="0" w:before="120"/>
      </w:pPr>
      <w:r>
        <w:t xml:space="preserve"/>
      </w:r>
    </w:p>
    <w:p>
      <w:pPr>
        <w:spacing w:after="60" w:before="60"/>
        <w:jc w:val="left"/>
      </w:pPr>
      <w:r>
        <w:rPr>
          <w:rFonts w:ascii="Arial" w:cs="Arial" w:eastAsia="Arial" w:hAnsi="Arial"/>
          <w:b/>
          <w:bCs/>
          <w:i w:val="false"/>
          <w:iCs w:val="false"/>
          <w:color w:val="085041"/>
          <w:sz w:val="22"/>
          <w:szCs w:val="22"/>
        </w:rPr>
        <w:t xml:space="preserve">8177 Management goes deeper on:</w:t>
      </w:r>
    </w:p>
    <w:p>
      <w:pPr>
        <w:pStyle w:val="ListParagraph"/>
        <w:numPr>
          <w:ilvl w:val="0"/>
          <w:numId w:val="2"/>
        </w:numPr>
        <w:spacing w:after="40" w:before="40"/>
      </w:pPr>
      <w:r>
        <w:rPr>
          <w:rFonts w:ascii="Arial" w:cs="Arial" w:eastAsia="Arial" w:hAnsi="Arial"/>
          <w:sz w:val="22"/>
          <w:szCs w:val="22"/>
        </w:rPr>
        <w:t xml:space="preserve">Personnel analysis in depth (Task 95): for each home match, the Events Manager produces a formal personnel plan that maps every role, names the person responsible, identifies the backup, and specifies the briefing time. After the match, the plan is evaluated — were there coverage gaps? Which roles were over-resourced? The plan improves with each iteration.</w:t>
      </w:r>
    </w:p>
    <w:p>
      <w:pPr>
        <w:pStyle w:val="ListParagraph"/>
        <w:numPr>
          <w:ilvl w:val="0"/>
          <w:numId w:val="2"/>
        </w:numPr>
        <w:spacing w:after="40" w:before="40"/>
      </w:pPr>
      <w:r>
        <w:rPr>
          <w:rFonts w:ascii="Arial" w:cs="Arial" w:eastAsia="Arial" w:hAnsi="Arial"/>
          <w:sz w:val="22"/>
          <w:szCs w:val="22"/>
        </w:rPr>
        <w:t xml:space="preserve">Motivation and competitive factors (Tasks 93–94): after the first two matches, management students analyze attendance trends — did it grow, hold, or decline? They identify the motivational factors that drove the best-attended match and the competitive factors that hurt the lowest-attended one, and adjust the third match's promotional strategy accordingly.</w:t>
      </w:r>
    </w:p>
    <w:p>
      <w:pPr>
        <w:pStyle w:val="ListParagraph"/>
        <w:numPr>
          <w:ilvl w:val="0"/>
          <w:numId w:val="2"/>
        </w:numPr>
        <w:spacing w:after="40" w:before="40"/>
      </w:pPr>
      <w:r>
        <w:rPr>
          <w:rFonts w:ascii="Arial" w:cs="Arial" w:eastAsia="Arial" w:hAnsi="Arial"/>
          <w:sz w:val="22"/>
          <w:szCs w:val="22"/>
        </w:rPr>
        <w:t xml:space="preserve">Post-event recognition system (Task 99): management students design a standing recognition protocol — what happens after every match to acknowledge players, volunteers, and staff. Consistency matters more than elaborateness. A reliable public acknowledgment after every event builds the culture the league needs to sustain itself.</w:t>
      </w:r>
    </w:p>
    <w:p>
      <w:pPr>
        <w:pStyle w:val="ListParagraph"/>
        <w:numPr>
          <w:ilvl w:val="0"/>
          <w:numId w:val="2"/>
        </w:numPr>
        <w:spacing w:after="40" w:before="40"/>
      </w:pPr>
      <w:r>
        <w:rPr>
          <w:rFonts w:ascii="Arial" w:cs="Arial" w:eastAsia="Arial" w:hAnsi="Arial"/>
          <w:sz w:val="22"/>
          <w:szCs w:val="22"/>
        </w:rPr>
        <w:t xml:space="preserve">Season-end evaluation (Task 101): the final post-event evaluation covers the entire season — total attendance, total revenue, operational improvement across all matches, promotional effectiveness trends, and a formal recommendation for year two. This document is presented to administration alongside the marketing plan.</w:t>
      </w:r>
    </w:p>
    <w:p>
      <w:pPr>
        <w:spacing w:after="0" w:before="120"/>
      </w:pPr>
      <w:r>
        <w:t xml:space="preserve"/>
      </w:r>
    </w:p>
    <w:p>
      <w:pPr>
        <w:pBdr>
          <w:bottom w:val="single" w:color="44337A" w:sz="4" w:space="2"/>
        </w:pBdr>
        <w:spacing w:after="60" w:before="200"/>
      </w:pPr>
      <w:r>
        <w:rPr>
          <w:rFonts w:ascii="Arial" w:cs="Arial" w:eastAsia="Arial" w:hAnsi="Arial"/>
          <w:b/>
          <w:bCs/>
          <w:color w:val="44337A"/>
          <w:sz w:val="20"/>
          <w:szCs w:val="20"/>
        </w:rPr>
        <w:t xml:space="preserve">VOCABULARY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sz w:val="20"/>
                <w:szCs w:val="20"/>
              </w:rPr>
              <w:t xml:space="preserve">Run-of-show</w:t>
            </w:r>
          </w:p>
        </w:tc>
        <w:tc>
          <w:tcPr>
            <w:tcW w:type="dxa" w:w="696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sz w:val="20"/>
                <w:szCs w:val="20"/>
              </w:rPr>
              <w:t xml:space="preserve">A timed sequence document that specifies every activity in an event, who is responsible for each, and the status of completion — the event manager's primary operational tool</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20"/>
                <w:szCs w:val="20"/>
              </w:rPr>
              <w:t xml:space="preserve">Personnel plan</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 document mapping every role required to run an event to a named person with a named backup — eliminates coverage gaps and authority confusion</w:t>
            </w:r>
          </w:p>
        </w:tc>
      </w:tr>
      <w:tr>
        <w:tc>
          <w:tcPr>
            <w:tcW w:type="dxa" w:w="24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sz w:val="20"/>
                <w:szCs w:val="20"/>
              </w:rPr>
              <w:t xml:space="preserve">Event P&amp;L</w:t>
            </w:r>
          </w:p>
        </w:tc>
        <w:tc>
          <w:tcPr>
            <w:tcW w:type="dxa" w:w="696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sz w:val="20"/>
                <w:szCs w:val="20"/>
              </w:rPr>
              <w:t xml:space="preserve">A profit and loss statement specific to one event — revenue streams vs. production costs, showing whether the event generated a surplus or required a subsidy</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20"/>
                <w:szCs w:val="20"/>
              </w:rPr>
              <w:t xml:space="preserve">Consumer motivation</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The underlying reasons a person chooses to attend an event — competition, community, social experience, and team investment are the primary motivators in esports</w:t>
            </w:r>
          </w:p>
        </w:tc>
      </w:tr>
      <w:tr>
        <w:tc>
          <w:tcPr>
            <w:tcW w:type="dxa" w:w="24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sz w:val="20"/>
                <w:szCs w:val="20"/>
              </w:rPr>
              <w:t xml:space="preserve">Post-event evaluation</w:t>
            </w:r>
          </w:p>
        </w:tc>
        <w:tc>
          <w:tcPr>
            <w:tcW w:type="dxa" w:w="696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sz w:val="20"/>
                <w:szCs w:val="20"/>
              </w:rPr>
              <w:t xml:space="preserve">A formal assessment of whether an event achieved its objectives — attendance, revenue, operations, promotion, and audience satisfaction all measured against pre-event targets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20"/>
                <w:szCs w:val="20"/>
              </w:rPr>
              <w:t xml:space="preserve">Competitive calendar</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 map of other events and activities competing for the same audience on or near the same date — used to identify scheduling risks and opportunities</w:t>
            </w:r>
          </w:p>
        </w:tc>
      </w:tr>
      <w:tr>
        <w:tc>
          <w:tcPr>
            <w:tcW w:type="dxa" w:w="240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b/>
                <w:bCs/>
                <w:sz w:val="20"/>
                <w:szCs w:val="20"/>
              </w:rPr>
              <w:t xml:space="preserve">Recognition protocol</w:t>
            </w:r>
          </w:p>
        </w:tc>
        <w:tc>
          <w:tcPr>
            <w:tcW w:type="dxa" w:w="6960"/>
            <w:tcBorders>
              <w:top w:val="single" w:color="CCCCCC" w:sz="1"/>
              <w:left w:val="single" w:color="CCCCCC" w:sz="1"/>
              <w:bottom w:val="single" w:color="CCCCCC" w:sz="1"/>
              <w:right w:val="single" w:color="CCCCCC" w:sz="1"/>
            </w:tcBorders>
            <w:shd w:fill="EDF2F7" w:val="clear"/>
            <w:tcMar>
              <w:top w:type="dxa" w:w="100"/>
              <w:left w:type="dxa" w:w="140"/>
              <w:bottom w:type="dxa" w:w="100"/>
              <w:right w:type="dxa" w:w="140"/>
            </w:tcMar>
          </w:tcPr>
          <w:p>
            <w:r>
              <w:rPr>
                <w:rFonts w:ascii="Arial" w:cs="Arial" w:eastAsia="Arial" w:hAnsi="Arial"/>
                <w:sz w:val="20"/>
                <w:szCs w:val="20"/>
              </w:rPr>
              <w:t xml:space="preserve">A defined, repeatable process for acknowledging participants after an event — builds culture, loyalty, and the relationships that make future events easier to run</w:t>
            </w:r>
          </w:p>
        </w:tc>
      </w:tr>
    </w:tbl>
    <w:p>
      <w:pPr>
        <w:spacing w:after="0" w:before="120"/>
      </w:pPr>
      <w:r>
        <w:t xml:space="preserve"/>
      </w:r>
    </w:p>
    <w:p>
      <w:pPr>
        <w:pBdr>
          <w:bottom w:val="single" w:color="44337A" w:sz="4" w:space="2"/>
        </w:pBdr>
        <w:spacing w:after="60" w:before="200"/>
      </w:pPr>
      <w:r>
        <w:rPr>
          <w:rFonts w:ascii="Arial" w:cs="Arial" w:eastAsia="Arial" w:hAnsi="Arial"/>
          <w:b/>
          <w:bCs/>
          <w:color w:val="44337A"/>
          <w:sz w:val="20"/>
          <w:szCs w:val="20"/>
        </w:rPr>
        <w:t xml:space="preserve">COMPETENCY ALIGNMENT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960"/>
        <w:gridCol w:w="1600"/>
        <w:gridCol w:w="600"/>
        <w:gridCol w:w="600"/>
      </w:tblGrid>
      <w:tr>
        <w:tc>
          <w:tcPr>
            <w:tcW w:type="dxa" w:w="600"/>
            <w:tcBorders>
              <w:top w:val="single" w:color="CCCCCC" w:sz="1"/>
              <w:left w:val="single" w:color="CCCCCC" w:sz="1"/>
              <w:bottom w:val="single" w:color="CCCCCC" w:sz="1"/>
              <w:right w:val="single" w:color="CCCCCC" w:sz="1"/>
            </w:tcBorders>
            <w:shd w:fill="2C5282"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Task</w:t>
            </w:r>
          </w:p>
        </w:tc>
        <w:tc>
          <w:tcPr>
            <w:tcW w:type="dxa" w:w="5960"/>
            <w:tcBorders>
              <w:top w:val="single" w:color="CCCCCC" w:sz="1"/>
              <w:left w:val="single" w:color="CCCCCC" w:sz="1"/>
              <w:bottom w:val="single" w:color="CCCCCC" w:sz="1"/>
              <w:right w:val="single" w:color="CCCCCC" w:sz="1"/>
            </w:tcBorders>
            <w:shd w:fill="2C5282"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Competency</w:t>
            </w:r>
          </w:p>
        </w:tc>
        <w:tc>
          <w:tcPr>
            <w:tcW w:type="dxa" w:w="1600"/>
            <w:tcBorders>
              <w:top w:val="single" w:color="CCCCCC" w:sz="1"/>
              <w:left w:val="single" w:color="CCCCCC" w:sz="1"/>
              <w:bottom w:val="single" w:color="CCCCCC" w:sz="1"/>
              <w:right w:val="single" w:color="CCCCCC" w:sz="1"/>
            </w:tcBorders>
            <w:shd w:fill="2C5282"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Course</w:t>
            </w:r>
          </w:p>
        </w:tc>
        <w:tc>
          <w:tcPr>
            <w:tcW w:type="dxa" w:w="600"/>
            <w:tcBorders>
              <w:top w:val="single" w:color="CCCCCC" w:sz="1"/>
              <w:left w:val="single" w:color="CCCCCC" w:sz="1"/>
              <w:bottom w:val="single" w:color="CCCCCC" w:sz="1"/>
              <w:right w:val="single" w:color="CCCCCC" w:sz="1"/>
            </w:tcBorders>
            <w:shd w:fill="2C5282"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Req.</w:t>
            </w:r>
          </w:p>
        </w:tc>
        <w:tc>
          <w:tcPr>
            <w:tcW w:type="dxa" w:w="600"/>
            <w:tcBorders>
              <w:top w:val="single" w:color="CCCCCC" w:sz="1"/>
              <w:left w:val="single" w:color="CCCCCC" w:sz="1"/>
              <w:bottom w:val="single" w:color="CCCCCC" w:sz="1"/>
              <w:right w:val="single" w:color="CCCCCC" w:sz="1"/>
            </w:tcBorders>
            <w:shd w:fill="2C5282"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SCR</w:t>
            </w:r>
          </w:p>
        </w:tc>
      </w:tr>
      <w:tr>
        <w:tc>
          <w:tcPr>
            <w:tcW w:type="dxa" w:w="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sz w:val="18"/>
                <w:szCs w:val="18"/>
              </w:rPr>
              <w:t xml:space="preserve">92</w:t>
            </w:r>
          </w:p>
        </w:tc>
        <w:tc>
          <w:tcPr>
            <w:tcW w:type="dxa" w:w="596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sz w:val="18"/>
                <w:szCs w:val="18"/>
              </w:rPr>
              <w:t xml:space="preserve">Explain the process for planning an event.</w:t>
            </w:r>
          </w:p>
        </w:tc>
        <w:tc>
          <w:tcPr>
            <w:tcW w:type="dxa" w:w="1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pPr>
              <w:jc w:val="center"/>
            </w:pPr>
            <w:r>
              <w:rPr>
                <w:rFonts w:ascii="Arial" w:cs="Arial" w:eastAsia="Arial" w:hAnsi="Arial"/>
                <w:color w:val="085041"/>
                <w:sz w:val="18"/>
                <w:szCs w:val="18"/>
              </w:rPr>
              <w:t xml:space="preserve">8177</w:t>
            </w:r>
          </w:p>
        </w:tc>
        <w:tc>
          <w:tcPr>
            <w:tcW w:type="dxa" w:w="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pPr>
              <w:jc w:val="center"/>
            </w:pPr>
            <w:r>
              <w:rPr>
                <w:rFonts w:ascii="Arial" w:cs="Arial" w:eastAsia="Arial" w:hAnsi="Arial"/>
                <w:color w:val="1D9E75"/>
                <w:sz w:val="18"/>
                <w:szCs w:val="18"/>
              </w:rPr>
              <w:t xml:space="preserve">✓</w:t>
            </w:r>
          </w:p>
        </w:tc>
        <w:tc>
          <w:tcPr>
            <w:tcW w:type="dxa" w:w="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color w:val="CCCCCC"/>
                <w:sz w:val="18"/>
                <w:szCs w:val="18"/>
              </w:rPr>
              <w:t xml:space="preserve">__</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93</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Describe factors that motivate consumers to attend sports, entertainment, and event occasions.</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085041"/>
                <w:sz w:val="18"/>
                <w:szCs w:val="18"/>
              </w:rPr>
              <w:t xml:space="preserve">8177</w:t>
            </w:r>
          </w:p>
        </w:tc>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1D9E75"/>
                <w:sz w:val="18"/>
                <w:szCs w:val="18"/>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CCCCCC"/>
                <w:sz w:val="18"/>
                <w:szCs w:val="18"/>
              </w:rPr>
              <w:t xml:space="preserve">__</w:t>
            </w:r>
          </w:p>
        </w:tc>
      </w:tr>
      <w:tr>
        <w:tc>
          <w:tcPr>
            <w:tcW w:type="dxa" w:w="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sz w:val="18"/>
                <w:szCs w:val="18"/>
              </w:rPr>
              <w:t xml:space="preserve">94</w:t>
            </w:r>
          </w:p>
        </w:tc>
        <w:tc>
          <w:tcPr>
            <w:tcW w:type="dxa" w:w="596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sz w:val="18"/>
                <w:szCs w:val="18"/>
              </w:rPr>
              <w:t xml:space="preserve">Explain how event popularity and competitive factors relate to attendance.</w:t>
            </w:r>
          </w:p>
        </w:tc>
        <w:tc>
          <w:tcPr>
            <w:tcW w:type="dxa" w:w="1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pPr>
              <w:jc w:val="center"/>
            </w:pPr>
            <w:r>
              <w:rPr>
                <w:rFonts w:ascii="Arial" w:cs="Arial" w:eastAsia="Arial" w:hAnsi="Arial"/>
                <w:color w:val="085041"/>
                <w:sz w:val="18"/>
                <w:szCs w:val="18"/>
              </w:rPr>
              <w:t xml:space="preserve">8177</w:t>
            </w:r>
          </w:p>
        </w:tc>
        <w:tc>
          <w:tcPr>
            <w:tcW w:type="dxa" w:w="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pPr>
              <w:jc w:val="center"/>
            </w:pPr>
            <w:r>
              <w:rPr>
                <w:rFonts w:ascii="Arial" w:cs="Arial" w:eastAsia="Arial" w:hAnsi="Arial"/>
                <w:color w:val="1D9E75"/>
                <w:sz w:val="18"/>
                <w:szCs w:val="18"/>
              </w:rPr>
              <w:t xml:space="preserve">✓</w:t>
            </w:r>
          </w:p>
        </w:tc>
        <w:tc>
          <w:tcPr>
            <w:tcW w:type="dxa" w:w="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color w:val="CCCCCC"/>
                <w:sz w:val="18"/>
                <w:szCs w:val="18"/>
              </w:rPr>
              <w:t xml:space="preserve">__</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95</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Analyze personnel needs for an event.</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085041"/>
                <w:sz w:val="18"/>
                <w:szCs w:val="18"/>
              </w:rPr>
              <w:t xml:space="preserve">8177</w:t>
            </w:r>
          </w:p>
        </w:tc>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1D9E75"/>
                <w:sz w:val="18"/>
                <w:szCs w:val="18"/>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CCCCCC"/>
                <w:sz w:val="18"/>
                <w:szCs w:val="18"/>
              </w:rPr>
              <w:t xml:space="preserve">__</w:t>
            </w:r>
          </w:p>
        </w:tc>
      </w:tr>
      <w:tr>
        <w:tc>
          <w:tcPr>
            <w:tcW w:type="dxa" w:w="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sz w:val="18"/>
                <w:szCs w:val="18"/>
              </w:rPr>
              <w:t xml:space="preserve">96</w:t>
            </w:r>
          </w:p>
        </w:tc>
        <w:tc>
          <w:tcPr>
            <w:tcW w:type="dxa" w:w="596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sz w:val="18"/>
                <w:szCs w:val="18"/>
              </w:rPr>
              <w:t xml:space="preserve">Analyze the financial resources required for each event activity.</w:t>
            </w:r>
          </w:p>
        </w:tc>
        <w:tc>
          <w:tcPr>
            <w:tcW w:type="dxa" w:w="1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pPr>
              <w:jc w:val="center"/>
            </w:pPr>
            <w:r>
              <w:rPr>
                <w:rFonts w:ascii="Arial" w:cs="Arial" w:eastAsia="Arial" w:hAnsi="Arial"/>
                <w:color w:val="085041"/>
                <w:sz w:val="18"/>
                <w:szCs w:val="18"/>
              </w:rPr>
              <w:t xml:space="preserve">8177</w:t>
            </w:r>
          </w:p>
        </w:tc>
        <w:tc>
          <w:tcPr>
            <w:tcW w:type="dxa" w:w="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pPr>
              <w:jc w:val="center"/>
            </w:pPr>
            <w:r>
              <w:rPr>
                <w:rFonts w:ascii="Arial" w:cs="Arial" w:eastAsia="Arial" w:hAnsi="Arial"/>
                <w:color w:val="1D9E75"/>
                <w:sz w:val="18"/>
                <w:szCs w:val="18"/>
              </w:rPr>
              <w:t xml:space="preserve">✓</w:t>
            </w:r>
          </w:p>
        </w:tc>
        <w:tc>
          <w:tcPr>
            <w:tcW w:type="dxa" w:w="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color w:val="CCCCCC"/>
                <w:sz w:val="18"/>
                <w:szCs w:val="18"/>
              </w:rPr>
              <w:t xml:space="preserve">__</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97</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Develop a marketing plan for an event.</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085041"/>
                <w:sz w:val="18"/>
                <w:szCs w:val="18"/>
              </w:rPr>
              <w:t xml:space="preserve">8177</w:t>
            </w:r>
          </w:p>
        </w:tc>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1D9E75"/>
                <w:sz w:val="18"/>
                <w:szCs w:val="18"/>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CCCCCC"/>
                <w:sz w:val="18"/>
                <w:szCs w:val="18"/>
              </w:rPr>
              <w:t xml:space="preserve">__</w:t>
            </w:r>
          </w:p>
        </w:tc>
      </w:tr>
      <w:tr>
        <w:tc>
          <w:tcPr>
            <w:tcW w:type="dxa" w:w="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sz w:val="18"/>
                <w:szCs w:val="18"/>
              </w:rPr>
              <w:t xml:space="preserve">98</w:t>
            </w:r>
          </w:p>
        </w:tc>
        <w:tc>
          <w:tcPr>
            <w:tcW w:type="dxa" w:w="596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sz w:val="18"/>
                <w:szCs w:val="18"/>
              </w:rPr>
              <w:t xml:space="preserve">Develop a budget for an event.</w:t>
            </w:r>
          </w:p>
        </w:tc>
        <w:tc>
          <w:tcPr>
            <w:tcW w:type="dxa" w:w="1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pPr>
              <w:jc w:val="center"/>
            </w:pPr>
            <w:r>
              <w:rPr>
                <w:rFonts w:ascii="Arial" w:cs="Arial" w:eastAsia="Arial" w:hAnsi="Arial"/>
                <w:color w:val="085041"/>
                <w:sz w:val="18"/>
                <w:szCs w:val="18"/>
              </w:rPr>
              <w:t xml:space="preserve">8177</w:t>
            </w:r>
          </w:p>
        </w:tc>
        <w:tc>
          <w:tcPr>
            <w:tcW w:type="dxa" w:w="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pPr>
              <w:jc w:val="center"/>
            </w:pPr>
            <w:r>
              <w:rPr>
                <w:rFonts w:ascii="Arial" w:cs="Arial" w:eastAsia="Arial" w:hAnsi="Arial"/>
                <w:color w:val="1D9E75"/>
                <w:sz w:val="18"/>
                <w:szCs w:val="18"/>
              </w:rPr>
              <w:t xml:space="preserve">✓</w:t>
            </w:r>
          </w:p>
        </w:tc>
        <w:tc>
          <w:tcPr>
            <w:tcW w:type="dxa" w:w="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color w:val="CCCCCC"/>
                <w:sz w:val="18"/>
                <w:szCs w:val="18"/>
              </w:rPr>
              <w:t xml:space="preserve">__</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99</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Develop follow-up activities to recognize and thank participants after an event.</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085041"/>
                <w:sz w:val="18"/>
                <w:szCs w:val="18"/>
              </w:rPr>
              <w:t xml:space="preserve">8177</w:t>
            </w:r>
          </w:p>
        </w:tc>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1D9E75"/>
                <w:sz w:val="18"/>
                <w:szCs w:val="18"/>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CCCCCC"/>
                <w:sz w:val="18"/>
                <w:szCs w:val="18"/>
              </w:rPr>
              <w:t xml:space="preserve">__</w:t>
            </w:r>
          </w:p>
        </w:tc>
      </w:tr>
      <w:tr>
        <w:tc>
          <w:tcPr>
            <w:tcW w:type="dxa" w:w="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sz w:val="18"/>
                <w:szCs w:val="18"/>
              </w:rPr>
              <w:t xml:space="preserve">100</w:t>
            </w:r>
          </w:p>
        </w:tc>
        <w:tc>
          <w:tcPr>
            <w:tcW w:type="dxa" w:w="596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sz w:val="18"/>
                <w:szCs w:val="18"/>
              </w:rPr>
              <w:t xml:space="preserve">Manage a sports, entertainment, and event occasion.</w:t>
            </w:r>
          </w:p>
        </w:tc>
        <w:tc>
          <w:tcPr>
            <w:tcW w:type="dxa" w:w="1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pPr>
              <w:jc w:val="center"/>
            </w:pPr>
            <w:r>
              <w:rPr>
                <w:rFonts w:ascii="Arial" w:cs="Arial" w:eastAsia="Arial" w:hAnsi="Arial"/>
                <w:color w:val="085041"/>
                <w:sz w:val="18"/>
                <w:szCs w:val="18"/>
              </w:rPr>
              <w:t xml:space="preserve">8177</w:t>
            </w:r>
          </w:p>
        </w:tc>
        <w:tc>
          <w:tcPr>
            <w:tcW w:type="dxa" w:w="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pPr>
              <w:jc w:val="center"/>
            </w:pPr>
            <w:r>
              <w:rPr>
                <w:rFonts w:ascii="Arial" w:cs="Arial" w:eastAsia="Arial" w:hAnsi="Arial"/>
                <w:color w:val="888888"/>
                <w:sz w:val="18"/>
                <w:szCs w:val="18"/>
              </w:rPr>
              <w:t xml:space="preserve">Opt.</w:t>
            </w:r>
          </w:p>
        </w:tc>
        <w:tc>
          <w:tcPr>
            <w:tcW w:type="dxa" w:w="600"/>
            <w:tcBorders>
              <w:top w:val="single" w:color="CCCCCC" w:sz="1"/>
              <w:left w:val="single" w:color="CCCCCC" w:sz="1"/>
              <w:bottom w:val="single" w:color="CCCCCC" w:sz="1"/>
              <w:right w:val="single" w:color="CCCCCC" w:sz="1"/>
            </w:tcBorders>
            <w:shd w:fill="F7FAFC" w:val="clear"/>
            <w:tcMar>
              <w:top w:type="dxa" w:w="100"/>
              <w:left w:type="dxa" w:w="140"/>
              <w:bottom w:type="dxa" w:w="100"/>
              <w:right w:type="dxa" w:w="140"/>
            </w:tcMar>
          </w:tcPr>
          <w:p>
            <w:r>
              <w:rPr>
                <w:rFonts w:ascii="Arial" w:cs="Arial" w:eastAsia="Arial" w:hAnsi="Arial"/>
                <w:color w:val="CCCCCC"/>
                <w:sz w:val="18"/>
                <w:szCs w:val="18"/>
              </w:rPr>
              <w:t xml:space="preserve">__</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101</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Evaluate the event's overall success.</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085041"/>
                <w:sz w:val="18"/>
                <w:szCs w:val="18"/>
              </w:rPr>
              <w:t xml:space="preserve">8177</w:t>
            </w:r>
          </w:p>
        </w:tc>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888888"/>
                <w:sz w:val="18"/>
                <w:szCs w:val="18"/>
              </w:rPr>
              <w:t xml:space="preserve">Opt.</w:t>
            </w:r>
          </w:p>
        </w:tc>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CCCCCC"/>
                <w:sz w:val="18"/>
                <w:szCs w:val="18"/>
              </w:rPr>
              <w:t xml:space="preserve">__</w:t>
            </w:r>
          </w:p>
        </w:tc>
      </w:tr>
    </w:tbl>
    <w:p>
      <w:pPr>
        <w:spacing w:after="0" w:before="120"/>
      </w:pPr>
      <w:r>
        <w:t xml:space="preserv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2026-06-14T22:14:37.365Z</dcterms:created>
  <dcterms:modified xsi:type="dcterms:W3CDTF">2026-06-14T22:14:37.381Z</dcterms:modified>
</cp:coreProperties>
</file>

<file path=docProps/custom.xml><?xml version="1.0" encoding="utf-8"?>
<Properties xmlns="http://schemas.openxmlformats.org/officeDocument/2006/custom-properties" xmlns:vt="http://schemas.openxmlformats.org/officeDocument/2006/docPropsVTypes"/>
</file>