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72" w:val="clear"/>
            <w:tcMar>
              <w:top w:type="dxa" w:w="120"/>
              <w:left w:type="dxa" w:w="160"/>
              <w:bottom w:type="dxa" w:w="120"/>
              <w:right w:type="dxa" w:w="160"/>
            </w:tcMar>
          </w:tcPr>
          <w:p>
            <w:r>
              <w:rPr>
                <w:rFonts w:ascii="Arial" w:cs="Arial" w:eastAsia="Arial" w:hAnsi="Arial"/>
                <w:b/>
                <w:bCs/>
                <w:color w:val="FFFFFF"/>
                <w:sz w:val="26"/>
                <w:szCs w:val="26"/>
              </w:rPr>
              <w:t xml:space="preserve">CLASSROOM AGENCY SYSTEM ·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4A6" w:val="clear"/>
            <w:tcMar>
              <w:top w:type="dxa" w:w="120"/>
              <w:left w:type="dxa" w:w="160"/>
              <w:bottom w:type="dxa" w:w="120"/>
              <w:right w:type="dxa" w:w="160"/>
            </w:tcMar>
          </w:tcPr>
          <w:p>
            <w:r>
              <w:rPr>
                <w:rFonts w:ascii="Arial" w:cs="Arial" w:eastAsia="Arial" w:hAnsi="Arial"/>
                <w:b/>
                <w:bCs/>
                <w:color w:val="FFFFFF"/>
                <w:sz w:val="32"/>
                <w:szCs w:val="32"/>
              </w:rPr>
              <w:t xml:space="preserve">Module 2 — Lesson Intelligence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E293B" w:val="clear"/>
            <w:tcMar>
              <w:top w:type="dxa" w:w="120"/>
              <w:left w:type="dxa" w:w="160"/>
              <w:bottom w:type="dxa" w:w="120"/>
              <w:right w:type="dxa" w:w="160"/>
            </w:tcMar>
          </w:tcPr>
          <w:p>
            <w:pPr>
              <w:jc w:val="center"/>
            </w:pPr>
            <w:r>
              <w:rPr>
                <w:rFonts w:ascii="Arial" w:cs="Arial" w:eastAsia="Arial" w:hAnsi="Arial"/>
                <w:b/>
                <w:bCs/>
                <w:color w:val="00B4A6"/>
                <w:sz w:val="20"/>
                <w:szCs w:val="20"/>
              </w:rPr>
              <w:t xml:space="preserve">PRODUCTION READY</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4 New Tabs</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4 New Scripts</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221 Competencies Loaded</w:t>
            </w:r>
          </w:p>
        </w:tc>
      </w:tr>
    </w:tbl>
    <w:p>
      <w:pPr>
        <w:spacing w:after="0" w:before="60"/>
      </w:pPr>
      <w:r>
        <w:t xml:space="preserve"/>
      </w:r>
    </w:p>
    <w:p>
      <w:pPr>
        <w:spacing w:after="60" w:before="60"/>
        <w:jc w:val="left"/>
      </w:pPr>
      <w:r>
        <w:rPr>
          <w:rFonts w:ascii="Arial" w:cs="Arial" w:eastAsia="Arial" w:hAnsi="Arial"/>
          <w:b w:val="false"/>
          <w:bCs w:val="false"/>
          <w:i/>
          <w:iCs/>
          <w:color w:val="888888"/>
          <w:sz w:val="20"/>
          <w:szCs w:val="20"/>
        </w:rPr>
        <w:t xml:space="preserve">Additive · No M1 Changes · Documentation v1.1</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r>
              <w:rPr>
                <w:rFonts w:ascii="Arial" w:cs="Arial" w:eastAsia="Arial" w:hAnsi="Arial"/>
                <w:b/>
                <w:bCs/>
                <w:color w:val="FFFFFF"/>
                <w:sz w:val="20"/>
                <w:szCs w:val="20"/>
              </w:rPr>
              <w:t xml:space="preserve">CORRECTIONS IN THIS VERSION (v1.0 → v1.1)</w:t>
            </w:r>
          </w:p>
        </w:tc>
      </w:tr>
    </w:tbl>
    <w:p>
      <w:pPr>
        <w:spacing w:after="0" w:before="60"/>
      </w:pPr>
      <w:r>
        <w:t xml:space="preserve"/>
      </w:r>
    </w:p>
    <w:p>
      <w:pPr>
        <w:spacing w:after="60" w:before="60"/>
        <w:jc w:val="left"/>
      </w:pPr>
      <w:r>
        <w:rPr>
          <w:rFonts w:ascii="Arial" w:cs="Arial" w:eastAsia="Arial" w:hAnsi="Arial"/>
          <w:b/>
          <w:bCs/>
          <w:i w:val="false"/>
          <w:iCs w:val="false"/>
          <w:color w:val="D93025"/>
          <w:sz w:val="22"/>
          <w:szCs w:val="22"/>
        </w:rPr>
        <w:t xml:space="preserve">TAB-COUNT  </w:t>
      </w:r>
      <w:r>
        <w:rPr>
          <w:rFonts w:ascii="Arial" w:cs="Arial" w:eastAsia="Arial" w:hAnsi="Arial"/>
          <w:b w:val="false"/>
          <w:bCs w:val="false"/>
          <w:i w:val="false"/>
          <w:iCs w:val="false"/>
          <w:color w:val="2D3748"/>
          <w:sz w:val="22"/>
          <w:szCs w:val="22"/>
        </w:rPr>
        <w:t xml:space="preserve">Tab count corrected from 3 to 4 throughout. ReportRegistry added to data model, deployment checklist step 4, and smoke test step 9.</w:t>
      </w:r>
    </w:p>
    <w:p>
      <w:pPr>
        <w:spacing w:after="60" w:before="60"/>
        <w:jc w:val="left"/>
      </w:pPr>
      <w:r>
        <w:rPr>
          <w:rFonts w:ascii="Arial" w:cs="Arial" w:eastAsia="Arial" w:hAnsi="Arial"/>
          <w:b/>
          <w:bCs/>
          <w:i w:val="false"/>
          <w:iCs w:val="false"/>
          <w:color w:val="D93025"/>
          <w:sz w:val="22"/>
          <w:szCs w:val="22"/>
        </w:rPr>
        <w:t xml:space="preserve">CONFIG-ADDENDUM-NARRATIVE  </w:t>
      </w:r>
      <w:r>
        <w:rPr>
          <w:rFonts w:ascii="Arial" w:cs="Arial" w:eastAsia="Arial" w:hAnsi="Arial"/>
          <w:b w:val="false"/>
          <w:bCs w:val="false"/>
          <w:i w:val="false"/>
          <w:iCs w:val="false"/>
          <w:color w:val="2D3748"/>
          <w:sz w:val="22"/>
          <w:szCs w:val="22"/>
        </w:rPr>
        <w:t xml:space="preserve">Step 1 now correctly lists four tab name keys, not three.</w:t>
      </w:r>
    </w:p>
    <w:p>
      <w:pPr>
        <w:spacing w:after="60" w:before="60"/>
        <w:jc w:val="left"/>
      </w:pPr>
      <w:r>
        <w:rPr>
          <w:rFonts w:ascii="Arial" w:cs="Arial" w:eastAsia="Arial" w:hAnsi="Arial"/>
          <w:b/>
          <w:bCs/>
          <w:i w:val="false"/>
          <w:iCs w:val="false"/>
          <w:color w:val="F59E0B"/>
          <w:sz w:val="22"/>
          <w:szCs w:val="22"/>
        </w:rPr>
        <w:t xml:space="preserve">SHARED-IDS-DECISION  </w:t>
      </w:r>
      <w:r>
        <w:rPr>
          <w:rFonts w:ascii="Arial" w:cs="Arial" w:eastAsia="Arial" w:hAnsi="Arial"/>
          <w:b w:val="false"/>
          <w:bCs w:val="false"/>
          <w:i w:val="false"/>
          <w:iCs w:val="false"/>
          <w:color w:val="2D3748"/>
          <w:sz w:val="22"/>
          <w:szCs w:val="22"/>
        </w:rPr>
        <w:t xml:space="preserve">Decision documented and closed. Moved from open questions to architectural decisions.</w:t>
      </w:r>
    </w:p>
    <w:p>
      <w:pPr>
        <w:spacing w:after="60" w:before="60"/>
        <w:jc w:val="left"/>
      </w:pPr>
      <w:r>
        <w:rPr>
          <w:rFonts w:ascii="Arial" w:cs="Arial" w:eastAsia="Arial" w:hAnsi="Arial"/>
          <w:b/>
          <w:bCs/>
          <w:i w:val="false"/>
          <w:iCs w:val="false"/>
          <w:color w:val="F59E0B"/>
          <w:sz w:val="22"/>
          <w:szCs w:val="22"/>
        </w:rPr>
        <w:t xml:space="preserve">M2_ENABLED-DEFAULT  </w:t>
      </w:r>
      <w:r>
        <w:rPr>
          <w:rFonts w:ascii="Arial" w:cs="Arial" w:eastAsia="Arial" w:hAnsi="Arial"/>
          <w:b w:val="false"/>
          <w:bCs w:val="false"/>
          <w:i w:val="false"/>
          <w:iCs w:val="false"/>
          <w:color w:val="2D3748"/>
          <w:sz w:val="22"/>
          <w:szCs w:val="22"/>
        </w:rPr>
        <w:t xml:space="preserve">Actual default behavior (absent = enabled) documented. Open question closed. Colleague deployment mitigation added.</w:t>
      </w:r>
    </w:p>
    <w:p>
      <w:pPr>
        <w:spacing w:after="60" w:before="60"/>
        <w:jc w:val="left"/>
      </w:pPr>
      <w:r>
        <w:rPr>
          <w:rFonts w:ascii="Arial" w:cs="Arial" w:eastAsia="Arial" w:hAnsi="Arial"/>
          <w:b/>
          <w:bCs/>
          <w:i w:val="false"/>
          <w:iCs w:val="false"/>
          <w:color w:val="5F6368"/>
          <w:sz w:val="22"/>
          <w:szCs w:val="22"/>
        </w:rPr>
        <w:t xml:space="preserve">REPORT-TEACHER-FILTER  </w:t>
      </w:r>
      <w:r>
        <w:rPr>
          <w:rFonts w:ascii="Arial" w:cs="Arial" w:eastAsia="Arial" w:hAnsi="Arial"/>
          <w:b w:val="false"/>
          <w:bCs w:val="false"/>
          <w:i w:val="false"/>
          <w:iCs w:val="false"/>
          <w:color w:val="2D3748"/>
          <w:sz w:val="22"/>
          <w:szCs w:val="22"/>
        </w:rPr>
        <w:t xml:space="preserve">generateAlignmentReport() teacher-scoping behavior documented explicitly.</w:t>
      </w:r>
    </w:p>
    <w:p>
      <w:pPr>
        <w:spacing w:after="60" w:before="60"/>
        <w:jc w:val="left"/>
      </w:pPr>
      <w:r>
        <w:rPr>
          <w:rFonts w:ascii="Arial" w:cs="Arial" w:eastAsia="Arial" w:hAnsi="Arial"/>
          <w:b/>
          <w:bCs/>
          <w:i w:val="false"/>
          <w:iCs w:val="false"/>
          <w:color w:val="5F6368"/>
          <w:sz w:val="22"/>
          <w:szCs w:val="22"/>
        </w:rPr>
        <w:t xml:space="preserve">SMOKE-TEST-REPORTREGISTRY  </w:t>
      </w:r>
      <w:r>
        <w:rPr>
          <w:rFonts w:ascii="Arial" w:cs="Arial" w:eastAsia="Arial" w:hAnsi="Arial"/>
          <w:b w:val="false"/>
          <w:bCs w:val="false"/>
          <w:i w:val="false"/>
          <w:iCs w:val="false"/>
          <w:color w:val="2D3748"/>
          <w:sz w:val="22"/>
          <w:szCs w:val="22"/>
        </w:rPr>
        <w:t xml:space="preserve">ReportRegistry verification added to step 9 smoke test.</w:t>
      </w:r>
    </w:p>
    <w:p>
      <w:r>
        <w:br w:type="page"/>
      </w:r>
    </w:p>
    <w:p>
      <w:pPr>
        <w:pBdr>
          <w:bottom w:val="single" w:color="00B4A6" w:sz="6" w:space="3"/>
        </w:pBdr>
        <w:spacing w:after="80" w:before="280"/>
      </w:pPr>
      <w:r>
        <w:rPr>
          <w:rFonts w:ascii="Arial" w:cs="Arial" w:eastAsia="Arial" w:hAnsi="Arial"/>
          <w:b/>
          <w:bCs/>
          <w:color w:val="007A72"/>
          <w:sz w:val="22"/>
          <w:szCs w:val="22"/>
        </w:rPr>
        <w:t xml:space="preserve">WHAT THIS IS</w:t>
      </w:r>
    </w:p>
    <w:p>
      <w:pPr>
        <w:pStyle w:val="Heading2"/>
        <w:spacing w:after="80" w:before="180"/>
      </w:pPr>
      <w:r>
        <w:rPr>
          <w:rFonts w:ascii="Arial" w:cs="Arial" w:eastAsia="Arial" w:hAnsi="Arial"/>
          <w:b/>
          <w:bCs/>
          <w:color w:val="2D3748"/>
          <w:sz w:val="26"/>
          <w:szCs w:val="26"/>
        </w:rPr>
        <w:t xml:space="preserve">The prerequisite for instruction</w:t>
      </w:r>
    </w:p>
    <w:p>
      <w:pPr>
        <w:spacing w:after="60" w:before="60"/>
        <w:jc w:val="left"/>
      </w:pPr>
      <w:r>
        <w:rPr>
          <w:rFonts w:ascii="Arial" w:cs="Arial" w:eastAsia="Arial" w:hAnsi="Arial"/>
          <w:b w:val="false"/>
          <w:bCs w:val="false"/>
          <w:i w:val="false"/>
          <w:iCs w:val="false"/>
          <w:color w:val="000000"/>
          <w:sz w:val="22"/>
          <w:szCs w:val="22"/>
        </w:rPr>
        <w:t xml:space="preserve">Module 1 automates the prerequisite for student submission. Module 2 automates the prerequisite for instruction — the documentation and alignment work that happens before class begins.</w:t>
      </w:r>
    </w:p>
    <w:p>
      <w:pPr>
        <w:spacing w:after="0" w:before="100"/>
      </w:pPr>
      <w:r>
        <w:t xml:space="preserve"/>
      </w:r>
    </w:p>
    <w:p>
      <w:pPr>
        <w:spacing w:after="60" w:before="60"/>
        <w:jc w:val="left"/>
      </w:pPr>
      <w:r>
        <w:rPr>
          <w:rFonts w:ascii="Arial" w:cs="Arial" w:eastAsia="Arial" w:hAnsi="Arial"/>
          <w:b w:val="false"/>
          <w:bCs w:val="false"/>
          <w:i w:val="false"/>
          <w:iCs w:val="false"/>
          <w:color w:val="000000"/>
          <w:sz w:val="22"/>
          <w:szCs w:val="22"/>
        </w:rPr>
        <w:t xml:space="preserve">Before teaching a lesson, a teacher submits a short lesson context through the existing Teacher Dashboard. The system captures what's being taught, which competencies it addresses, how it connects to prior learning, and what vocabulary is central. In return, two things happen automatically: a permanent record is written to the Central Ledger, and every competency addressed gets logged to an append-only alignment record.</w:t>
      </w:r>
    </w:p>
    <w:p>
      <w:pPr>
        <w:spacing w:after="0" w:before="100"/>
      </w:pPr>
      <w:r>
        <w:t xml:space="preserve"/>
      </w:r>
    </w:p>
    <w:p>
      <w:pPr>
        <w:spacing w:after="60" w:before="60"/>
        <w:jc w:val="left"/>
      </w:pPr>
      <w:r>
        <w:rPr>
          <w:rFonts w:ascii="Arial" w:cs="Arial" w:eastAsia="Arial" w:hAnsi="Arial"/>
          <w:b w:val="false"/>
          <w:bCs w:val="false"/>
          <w:i w:val="false"/>
          <w:iCs w:val="false"/>
          <w:color w:val="000000"/>
          <w:sz w:val="22"/>
          <w:szCs w:val="22"/>
        </w:rPr>
        <w:t xml:space="preserve">At the end of a term, generateAlignmentReport() produces a formatted Google Doc showing every competency addressed, organized by duty area, with the date and objective of each lesson that covered it — and a clear list of everything not yet addressed. That document exists with no additional effort beyond the per-lesson submissions.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What the lightweight build does not include:</w:t>
            </w:r>
          </w:p>
          <w:p>
            <w:r>
              <w:rPr>
                <w:rFonts w:ascii="Arial" w:cs="Arial" w:eastAsia="Arial" w:hAnsi="Arial"/>
                <w:color w:val="2D3748"/>
                <w:sz w:val="20"/>
                <w:szCs w:val="20"/>
              </w:rPr>
              <w:t xml:space="preserve">Warm-up generation (Studio Flows 3–5), student-facing warm-up delivery (Scripts 23–25), and lesson frame document generation (Script 27). Those belong to the full Module 2 build. The hooks for all of them are live in the current codebase — they are dormant, not absent.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Module independence:</w:t>
            </w:r>
          </w:p>
          <w:p>
            <w:r>
              <w:rPr>
                <w:rFonts w:ascii="Arial" w:cs="Arial" w:eastAsia="Arial" w:hAnsi="Arial"/>
                <w:color w:val="2D3748"/>
                <w:sz w:val="20"/>
                <w:szCs w:val="20"/>
              </w:rPr>
              <w:t xml:space="preserve">Module 2 is additive. It adds four new tabs and four new scripts to an existing Module 1 installation. No existing scripts are modified. Module 1 continues to run identically. Module 2 can be removed by setting M2_ENABLED = false in Script Properties — no uninstall required.</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HOW IT WORKS</w:t>
      </w:r>
    </w:p>
    <w:p>
      <w:pPr>
        <w:pStyle w:val="Heading2"/>
        <w:spacing w:after="80" w:before="180"/>
      </w:pPr>
      <w:r>
        <w:rPr>
          <w:rFonts w:ascii="Arial" w:cs="Arial" w:eastAsia="Arial" w:hAnsi="Arial"/>
          <w:b/>
          <w:bCs/>
          <w:color w:val="2D3748"/>
          <w:sz w:val="26"/>
          <w:szCs w:val="26"/>
        </w:rPr>
        <w:t xml:space="preserve">Data flow</w:t>
      </w:r>
    </w:p>
    <w:p>
      <w:pPr>
        <w:spacing w:after="60" w:before="60"/>
        <w:jc w:val="left"/>
      </w:pPr>
      <w:r>
        <w:rPr>
          <w:rFonts w:ascii="Arial" w:cs="Arial" w:eastAsia="Arial" w:hAnsi="Arial"/>
          <w:b w:val="false"/>
          <w:bCs w:val="false"/>
          <w:i w:val="false"/>
          <w:iCs w:val="false"/>
          <w:color w:val="000000"/>
          <w:sz w:val="22"/>
          <w:szCs w:val="22"/>
        </w:rPr>
        <w:t xml:space="preserve">The submission path is synchronous and direct. No queue, no polling, no Studio Flow. Script 07 calls Script 22 calls Script 26 — in a single execution context, within one Teacher Dashboard request.</w:t>
      </w:r>
    </w:p>
    <w:p>
      <w:pPr>
        <w:spacing w:after="0" w:before="100"/>
      </w:pPr>
      <w:r>
        <w:t xml:space="preserve"/>
      </w:r>
    </w:p>
    <w:p>
      <w:pPr>
        <w:spacing w:after="60" w:before="140"/>
      </w:pPr>
      <w:r>
        <w:rPr>
          <w:rFonts w:ascii="Arial" w:cs="Arial" w:eastAsia="Arial" w:hAnsi="Arial"/>
          <w:b/>
          <w:bCs/>
          <w:color w:val="007A72"/>
          <w:sz w:val="22"/>
          <w:szCs w:val="22"/>
        </w:rPr>
        <w:t xml:space="preserve">Lesson context submission — complete flow</w:t>
      </w:r>
    </w:p>
    <w:p>
      <w:pPr>
        <w:pStyle w:val="ListParagraph"/>
        <w:numPr>
          <w:ilvl w:val="0"/>
          <w:numId w:val="2"/>
        </w:numPr>
        <w:spacing w:after="40" w:before="40"/>
      </w:pPr>
      <w:r>
        <w:rPr>
          <w:rFonts w:ascii="Arial" w:cs="Arial" w:eastAsia="Arial" w:hAnsi="Arial"/>
          <w:color w:val="000000"/>
          <w:sz w:val="22"/>
          <w:szCs w:val="22"/>
        </w:rPr>
        <w:t xml:space="preserve">Teacher → clicks 'New Lesson' in Teacher Dashboard header</w:t>
      </w:r>
    </w:p>
    <w:p>
      <w:pPr>
        <w:pStyle w:val="ListParagraph"/>
        <w:numPr>
          <w:ilvl w:val="0"/>
          <w:numId w:val="2"/>
        </w:numPr>
        <w:spacing w:after="40" w:before="40"/>
      </w:pPr>
      <w:r>
        <w:rPr>
          <w:rFonts w:ascii="Arial" w:cs="Arial" w:eastAsia="Arial" w:hAnsi="Arial"/>
          <w:color w:val="000000"/>
          <w:sz w:val="22"/>
          <w:szCs w:val="22"/>
        </w:rPr>
        <w:t xml:space="preserve">Modal opens · competency tabs load from CompetencyRegistry</w:t>
      </w:r>
    </w:p>
    <w:p>
      <w:pPr>
        <w:pStyle w:val="ListParagraph"/>
        <w:numPr>
          <w:ilvl w:val="0"/>
          <w:numId w:val="2"/>
        </w:numPr>
        <w:spacing w:after="40" w:before="40"/>
      </w:pPr>
      <w:r>
        <w:rPr>
          <w:rFonts w:ascii="Arial" w:cs="Arial" w:eastAsia="Arial" w:hAnsi="Arial"/>
          <w:color w:val="000000"/>
          <w:sz w:val="22"/>
          <w:szCs w:val="22"/>
        </w:rPr>
        <w:t xml:space="preserve">Teacher fills required fields · selects competencies across course tabs → clicks 'Log lesson'</w:t>
      </w:r>
    </w:p>
    <w:p>
      <w:pPr>
        <w:pStyle w:val="ListParagraph"/>
        <w:numPr>
          <w:ilvl w:val="0"/>
          <w:numId w:val="2"/>
        </w:numPr>
        <w:spacing w:after="40" w:before="40"/>
      </w:pPr>
      <w:r>
        <w:rPr>
          <w:rFonts w:ascii="Arial" w:cs="Arial" w:eastAsia="Arial" w:hAnsi="Arial"/>
          <w:color w:val="000000"/>
          <w:sz w:val="22"/>
          <w:szCs w:val="22"/>
        </w:rPr>
        <w:t xml:space="preserve">Script 07 (Teacher Dashboard): submitLessonContext(payload) → injects teacherEmail + teacherName from Script Properties → calls onLessonContextSubmit_(payload) in Script 22</w:t>
      </w:r>
    </w:p>
    <w:p>
      <w:pPr>
        <w:pStyle w:val="ListParagraph"/>
        <w:numPr>
          <w:ilvl w:val="0"/>
          <w:numId w:val="2"/>
        </w:numPr>
        <w:spacing w:after="40" w:before="40"/>
      </w:pPr>
      <w:r>
        <w:rPr>
          <w:rFonts w:ascii="Arial" w:cs="Arial" w:eastAsia="Arial" w:hAnsi="Arial"/>
          <w:color w:val="000000"/>
          <w:sz w:val="22"/>
          <w:szCs w:val="22"/>
        </w:rPr>
        <w:t xml:space="preserve">Script 22 (LessonContextHandler): M2_ENABLED guard → tab availability check → validateLessonPayload_() → supersedeDuplicates_() → write row to LessonContext tab (status: RECEIVED) → call logAlignmentForLesson_(lessonId) in Script 26</w:t>
      </w:r>
    </w:p>
    <w:p>
      <w:pPr>
        <w:pStyle w:val="ListParagraph"/>
        <w:numPr>
          <w:ilvl w:val="0"/>
          <w:numId w:val="2"/>
        </w:numPr>
        <w:spacing w:after="40" w:before="40"/>
      </w:pPr>
      <w:r>
        <w:rPr>
          <w:rFonts w:ascii="Arial" w:cs="Arial" w:eastAsia="Arial" w:hAnsi="Arial"/>
          <w:color w:val="000000"/>
          <w:sz w:val="22"/>
          <w:szCs w:val="22"/>
        </w:rPr>
        <w:t xml:space="preserve">Script 26 (CompetencyAlignmentLog): find LessonContext row by lessonId · verify status=RECEIVED → build CompetencyMap from CompetencyRegistry → for each competency ID: write one AlignmentLog row (denormalized) → update LessonContext status → ALIGNMENT_LOGGED</w:t>
      </w:r>
    </w:p>
    <w:p>
      <w:pPr>
        <w:pStyle w:val="ListParagraph"/>
        <w:numPr>
          <w:ilvl w:val="0"/>
          <w:numId w:val="2"/>
        </w:numPr>
        <w:spacing w:after="40" w:before="40"/>
      </w:pPr>
      <w:r>
        <w:rPr>
          <w:rFonts w:ascii="Arial" w:cs="Arial" w:eastAsia="Arial" w:hAnsi="Arial"/>
          <w:color w:val="000000"/>
          <w:sz w:val="22"/>
          <w:szCs w:val="22"/>
        </w:rPr>
        <w:t xml:space="preserve">Script 07 receives { success: true, lessonId, frameDocUrl: null } → modal closes · toast fires → S27 hook: if frameDocUrl present, open in new tab (dormant until S27 exists)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Safety net:</w:t>
            </w:r>
          </w:p>
          <w:p>
            <w:r>
              <w:rPr>
                <w:rFonts w:ascii="Arial" w:cs="Arial" w:eastAsia="Arial" w:hAnsi="Arial"/>
                <w:color w:val="2D3748"/>
                <w:sz w:val="20"/>
                <w:szCs w:val="20"/>
              </w:rPr>
              <w:t xml:space="preserve">runAlignmentLogBackfill_() runs every 5 minutes as a time trigger. It scans LessonContext for RECEIVED rows with empty alignment_logged_at and retries logAlignmentForLesson_() for each — catching any rows where the direct S26 call in S22 failed silently.</w:t>
            </w:r>
          </w:p>
        </w:tc>
      </w:tr>
    </w:tbl>
    <w:p>
      <w:pPr>
        <w:spacing w:after="0" w:before="100"/>
      </w:pPr>
      <w:r>
        <w:t xml:space="preserve"/>
      </w:r>
    </w:p>
    <w:p>
      <w:pPr>
        <w:pStyle w:val="Heading2"/>
        <w:spacing w:after="80" w:before="180"/>
      </w:pPr>
      <w:r>
        <w:rPr>
          <w:rFonts w:ascii="Arial" w:cs="Arial" w:eastAsia="Arial" w:hAnsi="Arial"/>
          <w:b/>
          <w:bCs/>
          <w:color w:val="2D3748"/>
          <w:sz w:val="26"/>
          <w:szCs w:val="26"/>
        </w:rPr>
        <w:t xml:space="preserve">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77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NO QUEUE</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Script 22 calls Script 26 directly, not through a queue or time trigger. Module 1 uses a queue because Studio Flows introduce async latency. Module 2 lightweight has no Studio Flows — the entire submission pipeline completes synchronously. Queue overhead would add complexity with no benefit at this scale.</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APPEND-ONLY</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AlignmentLog rows are never updated or deleted. If a lesson is resubmitted with corrected competencies, new rows are appended and the old LessonContext row is marked SUPERSEDED. Reports filter by logged_at to use the most recent mapping per lesson.</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DENORMALIZED</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AlignmentLog copies lesson fields at write time — lesson_date, teacher_email, learning_objective, competency_text, and strand. This makes the AlignmentLog self-contained: an export is readable without joining other tabs.</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IDENTITY</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Teacher identity never touches the form. teacherEmail and teacherName are injected server-side by submitLessonContext() in Script 07 from Script Properties. The client cannot spoof these values.</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MODAL PLACEMENT</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The lesson form lives as a modal inside Script 07, not as a standalone Google Form. Script 07 already handles teacher identity correctly and the competency dropdown can be filtered server-side using config data unavailable to a standalone form.</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MULTI-COURSE</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Competency tabs are discovered dynamically from the registry. getCompetencies() scans CompetencyRegistry for all unique subjects visible to this teacher and renders one tab per course. Adding a third course to the registry produces a third tab with no code changes.</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SHARED FOUNDATION IDs ◈</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DECISION (closed): Tasks 1–38 are identical across 8175 and 8177 but carry separate IDs per course (8175-5 and 8177-5 are distinct records). This is correct for tracking — a student covering information literacy in Management and Marketing gets two log entries. The AlignmentReport shows both. REVIEW: After first term of data exists, evaluate whether a unified view is needed. Retrofitting is straightforward if decided then.</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M2_ENABLED DEFAULT ◈</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DECISION (closed): The M2_ENABLED guard in Script 22 passes through if the property is absent — treated as enabled. Behavior: absent = M2 active. To prevent unexpected activation in colleague clones, set M2_ENABLED=false in Script Properties before sharing the ledger, then have the colleague set it to true after completing setup. See deployment checklist step 2.</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DATA MODEL</w:t>
      </w:r>
    </w:p>
    <w:p>
      <w:pPr>
        <w:pStyle w:val="Heading2"/>
        <w:spacing w:after="80" w:before="180"/>
      </w:pPr>
      <w:r>
        <w:rPr>
          <w:rFonts w:ascii="Arial" w:cs="Arial" w:eastAsia="Arial" w:hAnsi="Arial"/>
          <w:b/>
          <w:bCs/>
          <w:color w:val="2D3748"/>
          <w:sz w:val="26"/>
          <w:szCs w:val="26"/>
        </w:rPr>
        <w:t xml:space="preserve">Four new tabs</w:t>
      </w:r>
    </w:p>
    <w:p>
      <w:pPr>
        <w:spacing w:after="60" w:before="60"/>
        <w:jc w:val="left"/>
      </w:pPr>
      <w:r>
        <w:rPr>
          <w:rFonts w:ascii="Arial" w:cs="Arial" w:eastAsia="Arial" w:hAnsi="Arial"/>
          <w:b w:val="false"/>
          <w:bCs w:val="false"/>
          <w:i w:val="false"/>
          <w:iCs w:val="false"/>
          <w:color w:val="000000"/>
          <w:sz w:val="22"/>
          <w:szCs w:val="22"/>
        </w:rPr>
        <w:t xml:space="preserve">All four tabs live in the existing Central Ledger spreadsheet. No new spreadsheets are created. No existing tabs are modified.</w:t>
      </w:r>
    </w:p>
    <w:p>
      <w:pPr>
        <w:spacing w:after="0" w:before="100"/>
      </w:pPr>
      <w:r>
        <w:t xml:space="preserve"/>
      </w:r>
    </w:p>
    <w:p>
      <w:pPr>
        <w:spacing w:after="60" w:before="140"/>
      </w:pPr>
      <w:r>
        <w:rPr>
          <w:rFonts w:ascii="Arial" w:cs="Arial" w:eastAsia="Arial" w:hAnsi="Arial"/>
          <w:b/>
          <w:bCs/>
          <w:color w:val="007A72"/>
          <w:sz w:val="22"/>
          <w:szCs w:val="22"/>
        </w:rPr>
        <w:t xml:space="preserve">LessonContext</w:t>
      </w:r>
    </w:p>
    <w:p>
      <w:pPr>
        <w:spacing w:after="60" w:before="60"/>
        <w:jc w:val="left"/>
      </w:pPr>
      <w:r>
        <w:rPr>
          <w:rFonts w:ascii="Arial" w:cs="Arial" w:eastAsia="Arial" w:hAnsi="Arial"/>
          <w:b w:val="false"/>
          <w:bCs w:val="false"/>
          <w:i/>
          <w:iCs/>
          <w:color w:val="555555"/>
          <w:sz w:val="20"/>
          <w:szCs w:val="20"/>
        </w:rPr>
        <w:t xml:space="preserve">One row per lesson submission · Written by S22 · Read by S26, S27 (future) · 14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lesson_id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Auto-generated. Format: LES-YYYYMMDD-XXXX. Primary key.</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teacher_email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Injected from Script Properties — not from the form.</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submitted_at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Server timestamp at row write. Distinct from lesson_date.</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lesson_date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 lesson is taught. YYYY-MM-DD. Must not be more than 30 days in the past.</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period_or_class</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Optional. Allows separate submissions for multi-section teachers on the same date.</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activity_description</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What students are doing. Required. Free prose.</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learning_objective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What students can do by end. Required. Copied to AlignmentLog.</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key_vocabulary</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Comma-separated terms. Optional. Future warm-up generation hook.</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prior_lesson_connection</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What last lesson covered that this builds on. Optional.</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competency_ids</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Comma-separated IDs validated against CompetencyRegistry. e.g. 8177-12,8175-12.</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status</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Enum</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Lifecycle state: RECEIVED → ALIGNMENT_LOGGED → SUPERSEDED / ERROR.</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alignment_logged_at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Timestamp when S26 wrote AlignmentLog rows. S26 idempotency check.</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error_notes</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Human-readable error detail on failure. Null on success.</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term</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CURRENT_TERM Script Property at write time.</w:t>
            </w:r>
          </w:p>
        </w:tc>
      </w:tr>
    </w:tbl>
    <w:p>
      <w:pPr>
        <w:spacing w:after="0" w:before="100"/>
      </w:pPr>
      <w:r>
        <w:t xml:space="preserve"/>
      </w:r>
    </w:p>
    <w:p>
      <w:pPr>
        <w:spacing w:after="60" w:before="140"/>
      </w:pPr>
      <w:r>
        <w:rPr>
          <w:rFonts w:ascii="Arial" w:cs="Arial" w:eastAsia="Arial" w:hAnsi="Arial"/>
          <w:b/>
          <w:bCs/>
          <w:color w:val="007A72"/>
          <w:sz w:val="22"/>
          <w:szCs w:val="22"/>
        </w:rPr>
        <w:t xml:space="preserve">CompetencyRegistry</w:t>
      </w:r>
    </w:p>
    <w:p>
      <w:pPr>
        <w:spacing w:after="60" w:before="60"/>
        <w:jc w:val="left"/>
      </w:pPr>
      <w:r>
        <w:rPr>
          <w:rFonts w:ascii="Arial" w:cs="Arial" w:eastAsia="Arial" w:hAnsi="Arial"/>
          <w:b w:val="false"/>
          <w:bCs w:val="false"/>
          <w:i/>
          <w:iCs/>
          <w:color w:val="555555"/>
          <w:sz w:val="20"/>
          <w:szCs w:val="20"/>
        </w:rPr>
        <w:t xml:space="preserve">One row per competency · Set up once · Never written by operational scripts · 7 columns · 221 rows pre-loaded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competency_id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Primary key. Format: COURSECODE-N e.g. 8177-15. Must be unique.</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competency_text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Full competency statement. Copied verbatim into AlignmentLog.</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subject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Full course name. Tab label in modal and display name in reports.</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grade_band</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e.g. 9-12. Secondary filter. All loaded competencies are 9-12.</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strand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Duty area from the CTE framework. Groups competencies in modal and reports.</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teacher_email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S22b</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Optional. If set, visible only to that teacher's modal. Blank = visible to all.</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active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Boolean</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Manual</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TRUE or blank = active. FALSE = retired. Excluded from modal; kept in log history.</w:t>
            </w:r>
          </w:p>
        </w:tc>
      </w:tr>
    </w:tbl>
    <w:p>
      <w:pPr>
        <w:spacing w:after="0" w:before="100"/>
      </w:pPr>
      <w:r>
        <w:t xml:space="preserve"/>
      </w:r>
    </w:p>
    <w:p>
      <w:pPr>
        <w:spacing w:after="60" w:before="140"/>
      </w:pPr>
      <w:r>
        <w:rPr>
          <w:rFonts w:ascii="Arial" w:cs="Arial" w:eastAsia="Arial" w:hAnsi="Arial"/>
          <w:b/>
          <w:bCs/>
          <w:color w:val="007A72"/>
          <w:sz w:val="22"/>
          <w:szCs w:val="22"/>
        </w:rPr>
        <w:t xml:space="preserve">AlignmentLog</w:t>
      </w:r>
    </w:p>
    <w:p>
      <w:pPr>
        <w:spacing w:after="60" w:before="60"/>
        <w:jc w:val="left"/>
      </w:pPr>
      <w:r>
        <w:rPr>
          <w:rFonts w:ascii="Arial" w:cs="Arial" w:eastAsia="Arial" w:hAnsi="Arial"/>
          <w:b w:val="false"/>
          <w:bCs w:val="false"/>
          <w:i/>
          <w:iCs/>
          <w:color w:val="555555"/>
          <w:sz w:val="20"/>
          <w:szCs w:val="20"/>
        </w:rPr>
        <w:t xml:space="preserve">One row per lesson-competency pair · Append-only · Written by S26 · Never updated or deleted · 9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log_id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Auto-generated. Format: ALG-YYYYMMDD-XXXX. Primary key for this row.</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lesson_id</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Foreign key → LessonContext.lesson_id. All rows from one lesson share this.</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logged_at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Server timestamp. Sort key for reports. Use most-recent per lesson_id if resubmitted.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lesson_date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LessonContext at write time. Enables date display without a JOIN.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teacher_email</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Copied from LessonContext. Enables teacher filtering without a JOIN.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learning_objective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LessonContext. Makes each row readable in isolation.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competency_id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The single competency this row represents. One row per competency per lesson.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competency_text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Text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CompetencyRegistry at write time. Full statement. Export-safe.</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strand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Copied from CompetencyRegistry. Used in report to group by duty area.</w:t>
            </w:r>
          </w:p>
        </w:tc>
      </w:tr>
    </w:tbl>
    <w:p>
      <w:pPr>
        <w:spacing w:after="0" w:before="100"/>
      </w:pPr>
      <w:r>
        <w:t xml:space="preserve"/>
      </w:r>
    </w:p>
    <w:p>
      <w:pPr>
        <w:spacing w:after="60" w:before="140"/>
      </w:pPr>
      <w:r>
        <w:rPr>
          <w:rFonts w:ascii="Arial" w:cs="Arial" w:eastAsia="Arial" w:hAnsi="Arial"/>
          <w:b/>
          <w:bCs/>
          <w:color w:val="007A72"/>
          <w:sz w:val="22"/>
          <w:szCs w:val="22"/>
        </w:rPr>
        <w:t xml:space="preserve">ReportRegistry</w:t>
      </w:r>
    </w:p>
    <w:p>
      <w:pPr>
        <w:spacing w:after="60" w:before="60"/>
        <w:jc w:val="left"/>
      </w:pPr>
      <w:r>
        <w:rPr>
          <w:rFonts w:ascii="Arial" w:cs="Arial" w:eastAsia="Arial" w:hAnsi="Arial"/>
          <w:b w:val="false"/>
          <w:bCs w:val="false"/>
          <w:i/>
          <w:iCs/>
          <w:color w:val="555555"/>
          <w:sz w:val="20"/>
          <w:szCs w:val="20"/>
        </w:rPr>
        <w:t xml:space="preserve">One row per generated alignment report · Append-only · Written by S26 · Never updated or deleted · 7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report_id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Auto-generated. Format: RPT-YYYYMMDD-XXXX. Primary key.</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generated_at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Server timestamp of report generation.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term</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Copied from CURRENT_TERM Script Property at generation time.</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teacher_email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cfg.teacherEmail. Enables per-teacher history in a shared ledger.</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doc_id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Google Doc ID of the generated alignment report.</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doc_url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Full edit URL. Also written to Script Properties as M2_LAST_REPORT_URL.</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report_type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S26</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Always 'ALIGNMENT_TERM' in the current build.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generateAlignmentReport() scoping:</w:t>
            </w:r>
          </w:p>
          <w:p>
            <w:r>
              <w:rPr>
                <w:rFonts w:ascii="Arial" w:cs="Arial" w:eastAsia="Arial" w:hAnsi="Arial"/>
                <w:color w:val="2D3748"/>
                <w:sz w:val="20"/>
                <w:szCs w:val="20"/>
              </w:rPr>
              <w:t xml:space="preserve">Filters AlignmentLog rows to cfg.teacherEmail before building the report. In a shared ledger, each teacher's report shows only their own lessons. All teachers' data accumulates in the shared AlignmentLog tab, but reports are scoped per teacher. The ReportRegistry accumulates all past report runs. Script Properties (M2_LAST_REPORT_DOC_ID, M2_LAST_REPORT_URL) point to the most recent run — overwritten on each generateAlignmentReport() call.</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CODEBASE</w:t>
      </w:r>
    </w:p>
    <w:p>
      <w:pPr>
        <w:pStyle w:val="Heading2"/>
        <w:spacing w:after="80" w:before="180"/>
      </w:pPr>
      <w:r>
        <w:rPr>
          <w:rFonts w:ascii="Arial" w:cs="Arial" w:eastAsia="Arial" w:hAnsi="Arial"/>
          <w:b/>
          <w:bCs/>
          <w:color w:val="2D3748"/>
          <w:sz w:val="26"/>
          <w:szCs w:val="26"/>
        </w:rPr>
        <w:t xml:space="preserve">Four scripts</w:t>
      </w:r>
    </w:p>
    <w:p>
      <w:pPr>
        <w:spacing w:after="60" w:before="60"/>
        <w:jc w:val="left"/>
      </w:pPr>
      <w:r>
        <w:rPr>
          <w:rFonts w:ascii="Arial" w:cs="Arial" w:eastAsia="Arial" w:hAnsi="Arial"/>
          <w:b w:val="false"/>
          <w:bCs w:val="false"/>
          <w:i w:val="false"/>
          <w:iCs w:val="false"/>
          <w:color w:val="000000"/>
          <w:sz w:val="22"/>
          <w:szCs w:val="22"/>
        </w:rPr>
        <w:t xml:space="preserve">Scripts 22, 22b, and 26 are bound to the Central Ledger spreadsheet project. Script 07 is a standalone web app. Script 07 is a modification of an existing file — not a new project.</w:t>
      </w:r>
    </w:p>
    <w:p>
      <w:pPr>
        <w:spacing w:after="0" w:before="100"/>
      </w:pPr>
      <w:r>
        <w:t xml:space="preserve"/>
      </w:r>
    </w:p>
    <w:p>
      <w:pPr>
        <w:spacing w:after="60" w:before="140"/>
      </w:pPr>
      <w:r>
        <w:rPr>
          <w:rFonts w:ascii="Arial" w:cs="Arial" w:eastAsia="Arial" w:hAnsi="Arial"/>
          <w:b/>
          <w:bCs/>
          <w:color w:val="007A72"/>
          <w:sz w:val="22"/>
          <w:szCs w:val="22"/>
        </w:rPr>
        <w:t xml:space="preserve">Script 07 — Modified · Teacher Dashboard</w:t>
      </w:r>
    </w:p>
    <w:p>
      <w:pPr>
        <w:spacing w:after="60" w:before="60"/>
        <w:jc w:val="left"/>
      </w:pPr>
      <w:r>
        <w:rPr>
          <w:rFonts w:ascii="Arial" w:cs="Arial" w:eastAsia="Arial" w:hAnsi="Arial"/>
          <w:b w:val="false"/>
          <w:bCs w:val="false"/>
          <w:i/>
          <w:iCs/>
          <w:color w:val="555555"/>
          <w:sz w:val="20"/>
          <w:szCs w:val="20"/>
        </w:rPr>
        <w:t xml:space="preserve">Standalone Web App · Execute as: Me · Deploy: update existing deployment</w:t>
      </w:r>
    </w:p>
    <w:p>
      <w:pPr>
        <w:spacing w:after="60" w:before="60"/>
        <w:jc w:val="left"/>
      </w:pPr>
      <w:r>
        <w:rPr>
          <w:rFonts w:ascii="Arial" w:cs="Arial" w:eastAsia="Arial" w:hAnsi="Arial"/>
          <w:b w:val="false"/>
          <w:bCs w:val="false"/>
          <w:i w:val="false"/>
          <w:iCs w:val="false"/>
          <w:color w:val="000000"/>
          <w:sz w:val="22"/>
          <w:szCs w:val="22"/>
        </w:rPr>
        <w:t xml:space="preserve">Three additions to the original file: the 'New Lesson' button in the header bar, the modal markup and styles, and two new server-side functions. All original dashboard code is unchanged. Redeployment updates the existing URL — teachers do not need a new link.</w:t>
      </w:r>
    </w:p>
    <w:p>
      <w:pPr>
        <w:pStyle w:val="ListParagraph"/>
        <w:numPr>
          <w:ilvl w:val="0"/>
          <w:numId w:val="2"/>
        </w:numPr>
        <w:spacing w:after="40" w:before="40"/>
      </w:pPr>
      <w:r>
        <w:rPr>
          <w:rFonts w:ascii="Arial" w:cs="Arial" w:eastAsia="Arial" w:hAnsi="Arial"/>
          <w:color w:val="000000"/>
          <w:sz w:val="22"/>
          <w:szCs w:val="22"/>
        </w:rPr>
        <w:t xml:space="preserve">getCompetencies() — discovers all courses for this teacher from the registry, returns competencies grouped by course and sorted by task number. Course discovery: a row belongs to this teacher if teacher_email matches or is blank.</w:t>
      </w:r>
    </w:p>
    <w:p>
      <w:pPr>
        <w:pStyle w:val="ListParagraph"/>
        <w:numPr>
          <w:ilvl w:val="0"/>
          <w:numId w:val="2"/>
        </w:numPr>
        <w:spacing w:after="40" w:before="40"/>
      </w:pPr>
      <w:r>
        <w:rPr>
          <w:rFonts w:ascii="Arial" w:cs="Arial" w:eastAsia="Arial" w:hAnsi="Arial"/>
          <w:color w:val="000000"/>
          <w:sz w:val="22"/>
          <w:szCs w:val="22"/>
        </w:rPr>
        <w:t xml:space="preserve">submitLessonContext(payload) — server-side handler for modal submit. Attaches teacher identity from Script Properties (not from client), delegates to Script 22, returns result.</w:t>
      </w:r>
    </w:p>
    <w:p>
      <w:pPr>
        <w:pStyle w:val="ListParagraph"/>
        <w:numPr>
          <w:ilvl w:val="0"/>
          <w:numId w:val="2"/>
        </w:numPr>
        <w:spacing w:after="40" w:before="40"/>
      </w:pPr>
      <w:r>
        <w:rPr>
          <w:rFonts w:ascii="Arial" w:cs="Arial" w:eastAsia="Arial" w:hAnsi="Arial"/>
          <w:color w:val="000000"/>
          <w:sz w:val="22"/>
          <w:szCs w:val="22"/>
        </w:rPr>
        <w:t xml:space="preserve">S27 hook: frameDocUrl — if result.frameDocUrl is present, opens the generated Lesson Frame doc in a new tab. Dormant until Script 27 exists.</w:t>
      </w:r>
    </w:p>
    <w:p>
      <w:pPr>
        <w:pStyle w:val="ListParagraph"/>
        <w:numPr>
          <w:ilvl w:val="0"/>
          <w:numId w:val="2"/>
        </w:numPr>
        <w:spacing w:after="40" w:before="40"/>
      </w:pPr>
      <w:r>
        <w:rPr>
          <w:rFonts w:ascii="Arial" w:cs="Arial" w:eastAsia="Arial" w:hAnsi="Arial"/>
          <w:color w:val="000000"/>
          <w:sz w:val="22"/>
          <w:szCs w:val="22"/>
        </w:rPr>
        <w:t xml:space="preserve">M3 hook: scaffold spans — each competency item renders a scaffold-{id} span waiting to be populated by getStudentScaffoldingData(). Currently empty and invisible.</w:t>
      </w:r>
    </w:p>
    <w:p>
      <w:pPr>
        <w:spacing w:after="0" w:before="100"/>
      </w:pPr>
      <w:r>
        <w:t xml:space="preserve"/>
      </w:r>
    </w:p>
    <w:p>
      <w:pPr>
        <w:spacing w:after="60" w:before="140"/>
      </w:pPr>
      <w:r>
        <w:rPr>
          <w:rFonts w:ascii="Arial" w:cs="Arial" w:eastAsia="Arial" w:hAnsi="Arial"/>
          <w:b/>
          <w:bCs/>
          <w:color w:val="007A72"/>
          <w:sz w:val="22"/>
          <w:szCs w:val="22"/>
        </w:rPr>
        <w:t xml:space="preserve">Script 22 — New · LessonContextHandler</w:t>
      </w:r>
    </w:p>
    <w:p>
      <w:pPr>
        <w:spacing w:after="60" w:before="60"/>
        <w:jc w:val="left"/>
      </w:pPr>
      <w:r>
        <w:rPr>
          <w:rFonts w:ascii="Arial" w:cs="Arial" w:eastAsia="Arial" w:hAnsi="Arial"/>
          <w:b w:val="false"/>
          <w:bCs w:val="false"/>
          <w:i/>
          <w:iCs/>
          <w:color w:val="555555"/>
          <w:sz w:val="20"/>
          <w:szCs w:val="20"/>
        </w:rPr>
        <w:t xml:space="preserve">Bound to: Central Ledger · Called by: Script 07</w:t>
      </w:r>
    </w:p>
    <w:p>
      <w:pPr>
        <w:spacing w:after="60" w:before="60"/>
        <w:jc w:val="left"/>
      </w:pPr>
      <w:r>
        <w:rPr>
          <w:rFonts w:ascii="Arial" w:cs="Arial" w:eastAsia="Arial" w:hAnsi="Arial"/>
          <w:b w:val="false"/>
          <w:bCs w:val="false"/>
          <w:i w:val="false"/>
          <w:iCs w:val="false"/>
          <w:color w:val="000000"/>
          <w:sz w:val="22"/>
          <w:szCs w:val="22"/>
        </w:rPr>
        <w:t xml:space="preserve">Primary submission handler. Validates payload, supersedes any existing RECEIVED row for the same teacher+date+period slot, writes to LessonContext tab, calls Script 26 directly. If Script 26 fails, writes an error note to the row — the backfill trigger handles retry. Also contains one-time setup functions.</w:t>
      </w:r>
    </w:p>
    <w:p>
      <w:pPr>
        <w:pStyle w:val="ListParagraph"/>
        <w:numPr>
          <w:ilvl w:val="0"/>
          <w:numId w:val="2"/>
        </w:numPr>
        <w:spacing w:after="40" w:before="40"/>
      </w:pPr>
      <w:r>
        <w:rPr>
          <w:rFonts w:ascii="Arial" w:cs="Arial" w:eastAsia="Arial" w:hAnsi="Arial"/>
          <w:color w:val="000000"/>
          <w:sz w:val="20"/>
          <w:szCs w:val="20"/>
        </w:rPr>
        <w:t xml:space="preserve">onLessonContextSubmit_(payload) — ENTRY</w:t>
      </w:r>
    </w:p>
    <w:p>
      <w:pPr>
        <w:pStyle w:val="ListParagraph"/>
        <w:numPr>
          <w:ilvl w:val="0"/>
          <w:numId w:val="2"/>
        </w:numPr>
        <w:spacing w:after="40" w:before="40"/>
      </w:pPr>
      <w:r>
        <w:rPr>
          <w:rFonts w:ascii="Arial" w:cs="Arial" w:eastAsia="Arial" w:hAnsi="Arial"/>
          <w:color w:val="000000"/>
          <w:sz w:val="20"/>
          <w:szCs w:val="20"/>
        </w:rPr>
        <w:t xml:space="preserve">createModule2Tabs_() — MANUAL (setup)</w:t>
      </w:r>
    </w:p>
    <w:p>
      <w:pPr>
        <w:pStyle w:val="ListParagraph"/>
        <w:numPr>
          <w:ilvl w:val="0"/>
          <w:numId w:val="2"/>
        </w:numPr>
        <w:spacing w:after="40" w:before="40"/>
      </w:pPr>
      <w:r>
        <w:rPr>
          <w:rFonts w:ascii="Arial" w:cs="Arial" w:eastAsia="Arial" w:hAnsi="Arial"/>
          <w:color w:val="000000"/>
          <w:sz w:val="20"/>
          <w:szCs w:val="20"/>
        </w:rPr>
        <w:t xml:space="preserve">installModule2Triggers_() — MANUAL (setup)</w:t>
      </w:r>
    </w:p>
    <w:p>
      <w:pPr>
        <w:pStyle w:val="ListParagraph"/>
        <w:numPr>
          <w:ilvl w:val="0"/>
          <w:numId w:val="2"/>
        </w:numPr>
        <w:spacing w:after="40" w:before="40"/>
      </w:pPr>
      <w:r>
        <w:rPr>
          <w:rFonts w:ascii="Arial" w:cs="Arial" w:eastAsia="Arial" w:hAnsi="Arial"/>
          <w:color w:val="000000"/>
          <w:sz w:val="20"/>
          <w:szCs w:val="20"/>
        </w:rPr>
        <w:t xml:space="preserve">validateLessonPayload_() — internal</w:t>
      </w:r>
    </w:p>
    <w:p>
      <w:pPr>
        <w:pStyle w:val="ListParagraph"/>
        <w:numPr>
          <w:ilvl w:val="0"/>
          <w:numId w:val="2"/>
        </w:numPr>
        <w:spacing w:after="40" w:before="40"/>
      </w:pPr>
      <w:r>
        <w:rPr>
          <w:rFonts w:ascii="Arial" w:cs="Arial" w:eastAsia="Arial" w:hAnsi="Arial"/>
          <w:color w:val="000000"/>
          <w:sz w:val="20"/>
          <w:szCs w:val="20"/>
        </w:rPr>
        <w:t xml:space="preserve">supersedeDuplicates_() — internal</w:t>
      </w:r>
    </w:p>
    <w:p>
      <w:pPr>
        <w:pStyle w:val="ListParagraph"/>
        <w:numPr>
          <w:ilvl w:val="0"/>
          <w:numId w:val="2"/>
        </w:numPr>
        <w:spacing w:after="40" w:before="40"/>
      </w:pPr>
      <w:r>
        <w:rPr>
          <w:rFonts w:ascii="Arial" w:cs="Arial" w:eastAsia="Arial" w:hAnsi="Arial"/>
          <w:color w:val="000000"/>
          <w:sz w:val="20"/>
          <w:szCs w:val="20"/>
        </w:rPr>
        <w:t xml:space="preserve">generateLessonId_() — internal</w:t>
      </w:r>
    </w:p>
    <w:p>
      <w:pPr>
        <w:pStyle w:val="ListParagraph"/>
        <w:numPr>
          <w:ilvl w:val="0"/>
          <w:numId w:val="2"/>
        </w:numPr>
        <w:spacing w:after="40" w:before="40"/>
      </w:pPr>
      <w:r>
        <w:rPr>
          <w:rFonts w:ascii="Arial" w:cs="Arial" w:eastAsia="Arial" w:hAnsi="Arial"/>
          <w:color w:val="000000"/>
          <w:sz w:val="20"/>
          <w:szCs w:val="20"/>
        </w:rPr>
        <w:t xml:space="preserve">runAlignmentLogBackfill_() — TRIGGER (every 5 min)</w:t>
      </w:r>
    </w:p>
    <w:p>
      <w:pPr>
        <w:spacing w:after="0" w:before="100"/>
      </w:pPr>
      <w:r>
        <w:t xml:space="preserve"/>
      </w:r>
    </w:p>
    <w:p>
      <w:pPr>
        <w:spacing w:after="60" w:before="140"/>
      </w:pPr>
      <w:r>
        <w:rPr>
          <w:rFonts w:ascii="Arial" w:cs="Arial" w:eastAsia="Arial" w:hAnsi="Arial"/>
          <w:b/>
          <w:bCs/>
          <w:color w:val="007A72"/>
          <w:sz w:val="22"/>
          <w:szCs w:val="22"/>
        </w:rPr>
        <w:t xml:space="preserve">Script 22b — New · CompetencyRegistryImporter</w:t>
      </w:r>
    </w:p>
    <w:p>
      <w:pPr>
        <w:spacing w:after="60" w:before="60"/>
        <w:jc w:val="left"/>
      </w:pPr>
      <w:r>
        <w:rPr>
          <w:rFonts w:ascii="Arial" w:cs="Arial" w:eastAsia="Arial" w:hAnsi="Arial"/>
          <w:b w:val="false"/>
          <w:bCs w:val="false"/>
          <w:i/>
          <w:iCs/>
          <w:color w:val="555555"/>
          <w:sz w:val="20"/>
          <w:szCs w:val="20"/>
        </w:rPr>
        <w:t xml:space="preserve">Bound to: Central Ledger · Run once manually from Script Editor</w:t>
      </w:r>
    </w:p>
    <w:p>
      <w:pPr>
        <w:spacing w:after="60" w:before="60"/>
        <w:jc w:val="left"/>
      </w:pPr>
      <w:r>
        <w:rPr>
          <w:rFonts w:ascii="Arial" w:cs="Arial" w:eastAsia="Arial" w:hAnsi="Arial"/>
          <w:b w:val="false"/>
          <w:bCs w:val="false"/>
          <w:i w:val="false"/>
          <w:iCs w:val="false"/>
          <w:color w:val="000000"/>
          <w:sz w:val="22"/>
          <w:szCs w:val="22"/>
        </w:rPr>
        <w:t xml:space="preserve">One-time CSV importer. Searches the teacher's Drive folder first, then all of Drive, for CompetencyRegistry.csv. Parses with a full RFC 4180 CSV parser. Skips any competency_id already present — safe to re-run. Batch-writes all new rows in a single setValues() call.</w:t>
      </w:r>
    </w:p>
    <w:p>
      <w:pPr>
        <w:pStyle w:val="ListParagraph"/>
        <w:numPr>
          <w:ilvl w:val="0"/>
          <w:numId w:val="2"/>
        </w:numPr>
        <w:spacing w:after="40" w:before="40"/>
      </w:pPr>
      <w:r>
        <w:rPr>
          <w:rFonts w:ascii="Arial" w:cs="Arial" w:eastAsia="Arial" w:hAnsi="Arial"/>
          <w:color w:val="000000"/>
          <w:sz w:val="20"/>
          <w:szCs w:val="20"/>
        </w:rPr>
        <w:t xml:space="preserve">importCompetencyRegistry() — MANUAL</w:t>
      </w:r>
    </w:p>
    <w:p>
      <w:pPr>
        <w:pStyle w:val="ListParagraph"/>
        <w:numPr>
          <w:ilvl w:val="0"/>
          <w:numId w:val="2"/>
        </w:numPr>
        <w:spacing w:after="40" w:before="40"/>
      </w:pPr>
      <w:r>
        <w:rPr>
          <w:rFonts w:ascii="Arial" w:cs="Arial" w:eastAsia="Arial" w:hAnsi="Arial"/>
          <w:color w:val="000000"/>
          <w:sz w:val="20"/>
          <w:szCs w:val="20"/>
        </w:rPr>
        <w:t xml:space="preserve">validateRegistryImport() — MANUAL (verify after import)</w:t>
      </w:r>
    </w:p>
    <w:p>
      <w:pPr>
        <w:pStyle w:val="ListParagraph"/>
        <w:numPr>
          <w:ilvl w:val="0"/>
          <w:numId w:val="2"/>
        </w:numPr>
        <w:spacing w:after="40" w:before="40"/>
      </w:pPr>
      <w:r>
        <w:rPr>
          <w:rFonts w:ascii="Arial" w:cs="Arial" w:eastAsia="Arial" w:hAnsi="Arial"/>
          <w:color w:val="000000"/>
          <w:sz w:val="20"/>
          <w:szCs w:val="20"/>
        </w:rPr>
        <w:t xml:space="preserve">findCsvFile_() — internal</w:t>
      </w:r>
    </w:p>
    <w:p>
      <w:pPr>
        <w:pStyle w:val="ListParagraph"/>
        <w:numPr>
          <w:ilvl w:val="0"/>
          <w:numId w:val="2"/>
        </w:numPr>
        <w:spacing w:after="40" w:before="40"/>
      </w:pPr>
      <w:r>
        <w:rPr>
          <w:rFonts w:ascii="Arial" w:cs="Arial" w:eastAsia="Arial" w:hAnsi="Arial"/>
          <w:color w:val="000000"/>
          <w:sz w:val="20"/>
          <w:szCs w:val="20"/>
        </w:rPr>
        <w:t xml:space="preserve">parseCsv_() — internal</w:t>
      </w:r>
    </w:p>
    <w:p>
      <w:pPr>
        <w:spacing w:after="0" w:before="100"/>
      </w:pPr>
      <w:r>
        <w:t xml:space="preserve"/>
      </w:r>
    </w:p>
    <w:p>
      <w:pPr>
        <w:spacing w:after="60" w:before="140"/>
      </w:pPr>
      <w:r>
        <w:rPr>
          <w:rFonts w:ascii="Arial" w:cs="Arial" w:eastAsia="Arial" w:hAnsi="Arial"/>
          <w:b/>
          <w:bCs/>
          <w:color w:val="007A72"/>
          <w:sz w:val="22"/>
          <w:szCs w:val="22"/>
        </w:rPr>
        <w:t xml:space="preserve">Script 26 — New · CompetencyAlignmentLog</w:t>
      </w:r>
    </w:p>
    <w:p>
      <w:pPr>
        <w:spacing w:after="60" w:before="60"/>
        <w:jc w:val="left"/>
      </w:pPr>
      <w:r>
        <w:rPr>
          <w:rFonts w:ascii="Arial" w:cs="Arial" w:eastAsia="Arial" w:hAnsi="Arial"/>
          <w:b w:val="false"/>
          <w:bCs w:val="false"/>
          <w:i/>
          <w:iCs/>
          <w:color w:val="555555"/>
          <w:sz w:val="20"/>
          <w:szCs w:val="20"/>
        </w:rPr>
        <w:t xml:space="preserve">Bound to: Central Ledger · Called by: Script 22</w:t>
      </w:r>
    </w:p>
    <w:p>
      <w:pPr>
        <w:spacing w:after="60" w:before="60"/>
        <w:jc w:val="left"/>
      </w:pPr>
      <w:r>
        <w:rPr>
          <w:rFonts w:ascii="Arial" w:cs="Arial" w:eastAsia="Arial" w:hAnsi="Arial"/>
          <w:b w:val="false"/>
          <w:bCs w:val="false"/>
          <w:i w:val="false"/>
          <w:iCs w:val="false"/>
          <w:color w:val="000000"/>
          <w:sz w:val="22"/>
          <w:szCs w:val="22"/>
        </w:rPr>
        <w:t xml:space="preserve">Append-only alignment logger. Called by Script 22 after a successful LessonContext write. Finds the row by lessonId, builds a competency lookup map from CompetencyRegistry, writes one AlignmentLog row per competency with denormalized fields, updates LessonContext status to ALIGNMENT_LOGGED. Never modifies existing AlignmentLog rows. generateAlignmentReport() is a separate manual function that produces a Google Doc scoped to the calling teacher.</w:t>
      </w:r>
    </w:p>
    <w:p>
      <w:pPr>
        <w:pStyle w:val="ListParagraph"/>
        <w:numPr>
          <w:ilvl w:val="0"/>
          <w:numId w:val="2"/>
        </w:numPr>
        <w:spacing w:after="40" w:before="40"/>
      </w:pPr>
      <w:r>
        <w:rPr>
          <w:rFonts w:ascii="Arial" w:cs="Arial" w:eastAsia="Arial" w:hAnsi="Arial"/>
          <w:color w:val="000000"/>
          <w:sz w:val="20"/>
          <w:szCs w:val="20"/>
        </w:rPr>
        <w:t xml:space="preserve">logAlignmentForLesson_(lessonId) — ENTRY</w:t>
      </w:r>
    </w:p>
    <w:p>
      <w:pPr>
        <w:pStyle w:val="ListParagraph"/>
        <w:numPr>
          <w:ilvl w:val="0"/>
          <w:numId w:val="2"/>
        </w:numPr>
        <w:spacing w:after="40" w:before="40"/>
      </w:pPr>
      <w:r>
        <w:rPr>
          <w:rFonts w:ascii="Arial" w:cs="Arial" w:eastAsia="Arial" w:hAnsi="Arial"/>
          <w:color w:val="000000"/>
          <w:sz w:val="20"/>
          <w:szCs w:val="20"/>
        </w:rPr>
        <w:t xml:space="preserve">generateAlignmentReport() — MANUAL</w:t>
      </w:r>
    </w:p>
    <w:p>
      <w:pPr>
        <w:pStyle w:val="ListParagraph"/>
        <w:numPr>
          <w:ilvl w:val="0"/>
          <w:numId w:val="2"/>
        </w:numPr>
        <w:spacing w:after="40" w:before="40"/>
      </w:pPr>
      <w:r>
        <w:rPr>
          <w:rFonts w:ascii="Arial" w:cs="Arial" w:eastAsia="Arial" w:hAnsi="Arial"/>
          <w:color w:val="000000"/>
          <w:sz w:val="20"/>
          <w:szCs w:val="20"/>
        </w:rPr>
        <w:t xml:space="preserve">buildCompetencyMap_() — internal</w:t>
      </w:r>
    </w:p>
    <w:p>
      <w:pPr>
        <w:pStyle w:val="ListParagraph"/>
        <w:numPr>
          <w:ilvl w:val="0"/>
          <w:numId w:val="2"/>
        </w:numPr>
        <w:spacing w:after="40" w:before="40"/>
      </w:pPr>
      <w:r>
        <w:rPr>
          <w:rFonts w:ascii="Arial" w:cs="Arial" w:eastAsia="Arial" w:hAnsi="Arial"/>
          <w:color w:val="000000"/>
          <w:sz w:val="20"/>
          <w:szCs w:val="20"/>
        </w:rPr>
        <w:t xml:space="preserve">buildCourseMap_() — internal</w:t>
      </w:r>
    </w:p>
    <w:p>
      <w:pPr>
        <w:pStyle w:val="ListParagraph"/>
        <w:numPr>
          <w:ilvl w:val="0"/>
          <w:numId w:val="2"/>
        </w:numPr>
        <w:spacing w:after="40" w:before="40"/>
      </w:pPr>
      <w:r>
        <w:rPr>
          <w:rFonts w:ascii="Arial" w:cs="Arial" w:eastAsia="Arial" w:hAnsi="Arial"/>
          <w:color w:val="000000"/>
          <w:sz w:val="20"/>
          <w:szCs w:val="20"/>
        </w:rPr>
        <w:t xml:space="preserve">generateLogId_() — internal</w:t>
      </w:r>
    </w:p>
    <w:p>
      <w:pPr>
        <w:pStyle w:val="ListParagraph"/>
        <w:numPr>
          <w:ilvl w:val="0"/>
          <w:numId w:val="2"/>
        </w:numPr>
        <w:spacing w:after="40" w:before="40"/>
      </w:pPr>
      <w:r>
        <w:rPr>
          <w:rFonts w:ascii="Arial" w:cs="Arial" w:eastAsia="Arial" w:hAnsi="Arial"/>
          <w:color w:val="000000"/>
          <w:sz w:val="20"/>
          <w:szCs w:val="20"/>
        </w:rPr>
        <w:t xml:space="preserve">generateReportId_() — internal</w:t>
      </w:r>
    </w:p>
    <w:p>
      <w:pPr>
        <w:pStyle w:val="ListParagraph"/>
        <w:numPr>
          <w:ilvl w:val="0"/>
          <w:numId w:val="2"/>
        </w:numPr>
        <w:spacing w:after="40" w:before="40"/>
      </w:pPr>
      <w:r>
        <w:rPr>
          <w:rFonts w:ascii="Arial" w:cs="Arial" w:eastAsia="Arial" w:hAnsi="Arial"/>
          <w:color w:val="000000"/>
          <w:sz w:val="20"/>
          <w:szCs w:val="20"/>
        </w:rPr>
        <w:t xml:space="preserve">registerReport_() — internal</w:t>
      </w:r>
    </w:p>
    <w:p>
      <w:pPr>
        <w:pStyle w:val="ListParagraph"/>
        <w:numPr>
          <w:ilvl w:val="0"/>
          <w:numId w:val="2"/>
        </w:numPr>
        <w:spacing w:after="40" w:before="40"/>
      </w:pPr>
      <w:r>
        <w:rPr>
          <w:rFonts w:ascii="Arial" w:cs="Arial" w:eastAsia="Arial" w:hAnsi="Arial"/>
          <w:color w:val="000000"/>
          <w:sz w:val="20"/>
          <w:szCs w:val="20"/>
        </w:rPr>
        <w:t xml:space="preserve">getLastReport() — MANUAL (convenience)</w:t>
      </w:r>
    </w:p>
    <w:p>
      <w:r>
        <w:br w:type="page"/>
      </w:r>
    </w:p>
    <w:p>
      <w:pPr>
        <w:pBdr>
          <w:bottom w:val="single" w:color="00B4A6" w:sz="6" w:space="3"/>
        </w:pBdr>
        <w:spacing w:after="80" w:before="280"/>
      </w:pPr>
      <w:r>
        <w:rPr>
          <w:rFonts w:ascii="Arial" w:cs="Arial" w:eastAsia="Arial" w:hAnsi="Arial"/>
          <w:b/>
          <w:bCs/>
          <w:color w:val="007A72"/>
          <w:sz w:val="22"/>
          <w:szCs w:val="22"/>
        </w:rPr>
        <w:t xml:space="preserve">REGISTRY</w:t>
      </w:r>
    </w:p>
    <w:p>
      <w:pPr>
        <w:pStyle w:val="Heading2"/>
        <w:spacing w:after="80" w:before="180"/>
      </w:pPr>
      <w:r>
        <w:rPr>
          <w:rFonts w:ascii="Arial" w:cs="Arial" w:eastAsia="Arial" w:hAnsi="Arial"/>
          <w:b/>
          <w:bCs/>
          <w:color w:val="2D3748"/>
          <w:sz w:val="26"/>
          <w:szCs w:val="26"/>
        </w:rPr>
        <w:t xml:space="preserve">221 competencies loaded</w:t>
      </w:r>
    </w:p>
    <w:p>
      <w:pPr>
        <w:spacing w:after="60" w:before="60"/>
        <w:jc w:val="left"/>
      </w:pPr>
      <w:r>
        <w:rPr>
          <w:rFonts w:ascii="Arial" w:cs="Arial" w:eastAsia="Arial" w:hAnsi="Arial"/>
          <w:b w:val="false"/>
          <w:bCs w:val="false"/>
          <w:i w:val="false"/>
          <w:iCs w:val="false"/>
          <w:color w:val="000000"/>
          <w:sz w:val="22"/>
          <w:szCs w:val="22"/>
        </w:rPr>
        <w:t xml:space="preserve">Sourced from Virginia CTE Student Competency Records for both courses. Imported via CompetencyRegistry.csv using Script 22b. All teacher_email values are blank — all competencies are shared and visible to any teacher whose installation uses this registry.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007A72" w:val="clear"/>
            <w:tcMar>
              <w:top w:type="dxa" w:w="120"/>
              <w:left w:type="dxa" w:w="160"/>
              <w:bottom w:type="dxa" w:w="120"/>
              <w:right w:type="dxa" w:w="160"/>
            </w:tcMar>
          </w:tcPr>
          <w:p>
            <w:r>
              <w:rPr>
                <w:rFonts w:ascii="Arial" w:cs="Arial" w:eastAsia="Arial" w:hAnsi="Arial"/>
                <w:b/>
                <w:bCs/>
                <w:color w:val="FFFFFF"/>
                <w:sz w:val="20"/>
                <w:szCs w:val="20"/>
              </w:rPr>
              <w:t xml:space="preserve">Course 8177 · 108 competencies · 18 duty areas</w:t>
            </w:r>
          </w:p>
        </w:tc>
        <w:tc>
          <w:tcPr>
            <w:tcW w:type="dxa" w:w="4680"/>
            <w:tcBorders>
              <w:top w:val="single" w:color="DADCE0" w:sz="1"/>
              <w:left w:val="single" w:color="DADCE0" w:sz="1"/>
              <w:bottom w:val="single" w:color="DADCE0" w:sz="1"/>
              <w:right w:val="single" w:color="DADCE0" w:sz="1"/>
            </w:tcBorders>
            <w:shd w:fill="007A72" w:val="clear"/>
            <w:tcMar>
              <w:top w:type="dxa" w:w="120"/>
              <w:left w:type="dxa" w:w="160"/>
              <w:bottom w:type="dxa" w:w="120"/>
              <w:right w:type="dxa" w:w="160"/>
            </w:tcMar>
          </w:tcPr>
          <w:p>
            <w:r>
              <w:rPr>
                <w:rFonts w:ascii="Arial" w:cs="Arial" w:eastAsia="Arial" w:hAnsi="Arial"/>
                <w:b/>
                <w:bCs/>
                <w:color w:val="FFFFFF"/>
                <w:sz w:val="20"/>
                <w:szCs w:val="20"/>
              </w:rPr>
              <w:t xml:space="preserve">Course 8175 · 113 competencies · 25 duty areas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30" w:before="30"/>
            </w:pPr>
            <w:r>
              <w:rPr>
                <w:rFonts w:ascii="Arial" w:cs="Arial" w:eastAsia="Arial" w:hAnsi="Arial"/>
                <w:color w:val="2D3748"/>
                <w:sz w:val="18"/>
                <w:szCs w:val="18"/>
              </w:rPr>
              <w:t xml:space="preserve">— Demonstrating Personal Qualities and Abilities</w:t>
            </w:r>
          </w:p>
          <w:p>
            <w:pPr>
              <w:spacing w:after="30" w:before="30"/>
            </w:pPr>
            <w:r>
              <w:rPr>
                <w:rFonts w:ascii="Arial" w:cs="Arial" w:eastAsia="Arial" w:hAnsi="Arial"/>
                <w:color w:val="2D3748"/>
                <w:sz w:val="18"/>
                <w:szCs w:val="18"/>
              </w:rPr>
              <w:t xml:space="preserve">— Demonstrating Interpersonal Skills</w:t>
            </w:r>
          </w:p>
          <w:p>
            <w:pPr>
              <w:spacing w:after="30" w:before="30"/>
            </w:pPr>
            <w:r>
              <w:rPr>
                <w:rFonts w:ascii="Arial" w:cs="Arial" w:eastAsia="Arial" w:hAnsi="Arial"/>
                <w:color w:val="2D3748"/>
                <w:sz w:val="18"/>
                <w:szCs w:val="18"/>
              </w:rPr>
              <w:t xml:space="preserve">— Demonstrating Professional Competencies</w:t>
            </w:r>
          </w:p>
          <w:p>
            <w:pPr>
              <w:spacing w:after="30" w:before="30"/>
            </w:pPr>
            <w:r>
              <w:rPr>
                <w:rFonts w:ascii="Arial" w:cs="Arial" w:eastAsia="Arial" w:hAnsi="Arial"/>
                <w:color w:val="2D3748"/>
                <w:sz w:val="18"/>
                <w:szCs w:val="18"/>
              </w:rPr>
              <w:t xml:space="preserve">— Examining All Aspects of an Industry</w:t>
            </w:r>
          </w:p>
          <w:p>
            <w:pPr>
              <w:spacing w:after="30" w:before="30"/>
            </w:pPr>
            <w:r>
              <w:rPr>
                <w:rFonts w:ascii="Arial" w:cs="Arial" w:eastAsia="Arial" w:hAnsi="Arial"/>
                <w:color w:val="2D3748"/>
                <w:sz w:val="18"/>
                <w:szCs w:val="18"/>
              </w:rPr>
              <w:t xml:space="preserve">— Addressing Elements of Student Life</w:t>
            </w:r>
          </w:p>
          <w:p>
            <w:pPr>
              <w:spacing w:after="30" w:before="30"/>
            </w:pPr>
            <w:r>
              <w:rPr>
                <w:rFonts w:ascii="Arial" w:cs="Arial" w:eastAsia="Arial" w:hAnsi="Arial"/>
                <w:color w:val="2D3748"/>
                <w:sz w:val="18"/>
                <w:szCs w:val="18"/>
              </w:rPr>
              <w:t xml:space="preserve">— Exploring Work-Based Learning</w:t>
            </w:r>
          </w:p>
          <w:p>
            <w:pPr>
              <w:spacing w:after="30" w:before="30"/>
            </w:pPr>
            <w:r>
              <w:rPr>
                <w:rFonts w:ascii="Arial" w:cs="Arial" w:eastAsia="Arial" w:hAnsi="Arial"/>
                <w:color w:val="2D3748"/>
                <w:sz w:val="18"/>
                <w:szCs w:val="18"/>
              </w:rPr>
              <w:t xml:space="preserve">— Exploring Sports, Entertainment, and Event Management</w:t>
            </w:r>
          </w:p>
          <w:p>
            <w:pPr>
              <w:spacing w:after="30" w:before="30"/>
            </w:pPr>
            <w:r>
              <w:rPr>
                <w:rFonts w:ascii="Arial" w:cs="Arial" w:eastAsia="Arial" w:hAnsi="Arial"/>
                <w:color w:val="2D3748"/>
                <w:sz w:val="18"/>
                <w:szCs w:val="18"/>
              </w:rPr>
              <w:t xml:space="preserve">— Describing the Economics of the Industries</w:t>
            </w:r>
          </w:p>
          <w:p>
            <w:pPr>
              <w:spacing w:after="30" w:before="30"/>
            </w:pPr>
            <w:r>
              <w:rPr>
                <w:rFonts w:ascii="Arial" w:cs="Arial" w:eastAsia="Arial" w:hAnsi="Arial"/>
                <w:color w:val="2D3748"/>
                <w:sz w:val="18"/>
                <w:szCs w:val="18"/>
              </w:rPr>
              <w:t xml:space="preserve">— Explaining the Structure of Businesses</w:t>
            </w:r>
          </w:p>
          <w:p>
            <w:pPr>
              <w:spacing w:after="30" w:before="30"/>
            </w:pPr>
            <w:r>
              <w:rPr>
                <w:rFonts w:ascii="Arial" w:cs="Arial" w:eastAsia="Arial" w:hAnsi="Arial"/>
                <w:color w:val="2D3748"/>
                <w:sz w:val="18"/>
                <w:szCs w:val="18"/>
              </w:rPr>
              <w:t xml:space="preserve">— Exploring Entrepreneurship</w:t>
            </w:r>
          </w:p>
          <w:p>
            <w:pPr>
              <w:spacing w:after="30" w:before="30"/>
            </w:pPr>
            <w:r>
              <w:rPr>
                <w:rFonts w:ascii="Arial" w:cs="Arial" w:eastAsia="Arial" w:hAnsi="Arial"/>
                <w:color w:val="2D3748"/>
                <w:sz w:val="18"/>
                <w:szCs w:val="18"/>
              </w:rPr>
              <w:t xml:space="preserve">— Developing Customer Service Skills</w:t>
            </w:r>
          </w:p>
          <w:p>
            <w:pPr>
              <w:spacing w:after="30" w:before="30"/>
            </w:pPr>
            <w:r>
              <w:rPr>
                <w:rFonts w:ascii="Arial" w:cs="Arial" w:eastAsia="Arial" w:hAnsi="Arial"/>
                <w:color w:val="2D3748"/>
                <w:sz w:val="18"/>
                <w:szCs w:val="18"/>
              </w:rPr>
              <w:t xml:space="preserve">— Exploring Ethical Issues</w:t>
            </w:r>
          </w:p>
          <w:p>
            <w:pPr>
              <w:spacing w:after="30" w:before="30"/>
            </w:pPr>
            <w:r>
              <w:rPr>
                <w:rFonts w:ascii="Arial" w:cs="Arial" w:eastAsia="Arial" w:hAnsi="Arial"/>
                <w:color w:val="2D3748"/>
                <w:sz w:val="18"/>
                <w:szCs w:val="18"/>
              </w:rPr>
              <w:t xml:space="preserve">— Exploring Legal Aspects</w:t>
            </w:r>
          </w:p>
          <w:p>
            <w:pPr>
              <w:spacing w:after="30" w:before="30"/>
            </w:pPr>
            <w:r>
              <w:rPr>
                <w:rFonts w:ascii="Arial" w:cs="Arial" w:eastAsia="Arial" w:hAnsi="Arial"/>
                <w:color w:val="2D3748"/>
                <w:sz w:val="18"/>
                <w:szCs w:val="18"/>
              </w:rPr>
              <w:t xml:space="preserve">— Understanding Market Research</w:t>
            </w:r>
          </w:p>
          <w:p>
            <w:pPr>
              <w:spacing w:after="30" w:before="30"/>
            </w:pPr>
            <w:r>
              <w:rPr>
                <w:rFonts w:ascii="Arial" w:cs="Arial" w:eastAsia="Arial" w:hAnsi="Arial"/>
                <w:color w:val="2D3748"/>
                <w:sz w:val="18"/>
                <w:szCs w:val="18"/>
              </w:rPr>
              <w:t xml:space="preserve">— Exploring Revenues and Expenditures</w:t>
            </w:r>
          </w:p>
          <w:p>
            <w:pPr>
              <w:spacing w:after="30" w:before="30"/>
            </w:pPr>
            <w:r>
              <w:rPr>
                <w:rFonts w:ascii="Arial" w:cs="Arial" w:eastAsia="Arial" w:hAnsi="Arial"/>
                <w:color w:val="2D3748"/>
                <w:sz w:val="18"/>
                <w:szCs w:val="18"/>
              </w:rPr>
              <w:t xml:space="preserve">— Managing Safety and Security</w:t>
            </w:r>
          </w:p>
          <w:p>
            <w:pPr>
              <w:spacing w:after="30" w:before="30"/>
            </w:pPr>
            <w:r>
              <w:rPr>
                <w:rFonts w:ascii="Arial" w:cs="Arial" w:eastAsia="Arial" w:hAnsi="Arial"/>
                <w:color w:val="2D3748"/>
                <w:sz w:val="18"/>
                <w:szCs w:val="18"/>
              </w:rPr>
              <w:t xml:space="preserve">— Understanding Event Management</w:t>
            </w:r>
          </w:p>
          <w:p>
            <w:pPr>
              <w:spacing w:after="30" w:before="30"/>
            </w:pPr>
            <w:r>
              <w:rPr>
                <w:rFonts w:ascii="Arial" w:cs="Arial" w:eastAsia="Arial" w:hAnsi="Arial"/>
                <w:color w:val="2D3748"/>
                <w:sz w:val="18"/>
                <w:szCs w:val="18"/>
              </w:rPr>
              <w:t xml:space="preserve">— Developing Career Goals</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30" w:before="30"/>
            </w:pPr>
            <w:r>
              <w:rPr>
                <w:rFonts w:ascii="Arial" w:cs="Arial" w:eastAsia="Arial" w:hAnsi="Arial"/>
                <w:color w:val="2D3748"/>
                <w:sz w:val="18"/>
                <w:szCs w:val="18"/>
              </w:rPr>
              <w:t xml:space="preserve">— Demonstrating Personal Qualities and Abilities</w:t>
            </w:r>
          </w:p>
          <w:p>
            <w:pPr>
              <w:spacing w:after="30" w:before="30"/>
            </w:pPr>
            <w:r>
              <w:rPr>
                <w:rFonts w:ascii="Arial" w:cs="Arial" w:eastAsia="Arial" w:hAnsi="Arial"/>
                <w:color w:val="2D3748"/>
                <w:sz w:val="18"/>
                <w:szCs w:val="18"/>
              </w:rPr>
              <w:t xml:space="preserve">— Demonstrating Interpersonal Skills</w:t>
            </w:r>
          </w:p>
          <w:p>
            <w:pPr>
              <w:spacing w:after="30" w:before="30"/>
            </w:pPr>
            <w:r>
              <w:rPr>
                <w:rFonts w:ascii="Arial" w:cs="Arial" w:eastAsia="Arial" w:hAnsi="Arial"/>
                <w:color w:val="2D3748"/>
                <w:sz w:val="18"/>
                <w:szCs w:val="18"/>
              </w:rPr>
              <w:t xml:space="preserve">— Demonstrating Professional Competencies</w:t>
            </w:r>
          </w:p>
          <w:p>
            <w:pPr>
              <w:spacing w:after="30" w:before="30"/>
            </w:pPr>
            <w:r>
              <w:rPr>
                <w:rFonts w:ascii="Arial" w:cs="Arial" w:eastAsia="Arial" w:hAnsi="Arial"/>
                <w:color w:val="2D3748"/>
                <w:sz w:val="18"/>
                <w:szCs w:val="18"/>
              </w:rPr>
              <w:t xml:space="preserve">— Examining All Aspects of an Industry</w:t>
            </w:r>
          </w:p>
          <w:p>
            <w:pPr>
              <w:spacing w:after="30" w:before="30"/>
            </w:pPr>
            <w:r>
              <w:rPr>
                <w:rFonts w:ascii="Arial" w:cs="Arial" w:eastAsia="Arial" w:hAnsi="Arial"/>
                <w:color w:val="2D3748"/>
                <w:sz w:val="18"/>
                <w:szCs w:val="18"/>
              </w:rPr>
              <w:t xml:space="preserve">— Addressing Elements of Student Life</w:t>
            </w:r>
          </w:p>
          <w:p>
            <w:pPr>
              <w:spacing w:after="30" w:before="30"/>
            </w:pPr>
            <w:r>
              <w:rPr>
                <w:rFonts w:ascii="Arial" w:cs="Arial" w:eastAsia="Arial" w:hAnsi="Arial"/>
                <w:color w:val="2D3748"/>
                <w:sz w:val="18"/>
                <w:szCs w:val="18"/>
              </w:rPr>
              <w:t xml:space="preserve">— Exploring Work-Based Learning</w:t>
            </w:r>
          </w:p>
          <w:p>
            <w:pPr>
              <w:spacing w:after="30" w:before="30"/>
            </w:pPr>
            <w:r>
              <w:rPr>
                <w:rFonts w:ascii="Arial" w:cs="Arial" w:eastAsia="Arial" w:hAnsi="Arial"/>
                <w:color w:val="2D3748"/>
                <w:sz w:val="18"/>
                <w:szCs w:val="18"/>
              </w:rPr>
              <w:t xml:space="preserve">— Developing an Overview of Marketing</w:t>
            </w:r>
          </w:p>
          <w:p>
            <w:pPr>
              <w:spacing w:after="30" w:before="30"/>
            </w:pPr>
            <w:r>
              <w:rPr>
                <w:rFonts w:ascii="Arial" w:cs="Arial" w:eastAsia="Arial" w:hAnsi="Arial"/>
                <w:color w:val="2D3748"/>
                <w:sz w:val="18"/>
                <w:szCs w:val="18"/>
              </w:rPr>
              <w:t xml:space="preserve">— Understanding the Importance of SEEM Marketing</w:t>
            </w:r>
          </w:p>
          <w:p>
            <w:pPr>
              <w:spacing w:after="30" w:before="30"/>
            </w:pPr>
            <w:r>
              <w:rPr>
                <w:rFonts w:ascii="Arial" w:cs="Arial" w:eastAsia="Arial" w:hAnsi="Arial"/>
                <w:color w:val="2D3748"/>
                <w:sz w:val="18"/>
                <w:szCs w:val="18"/>
              </w:rPr>
              <w:t xml:space="preserve">— Developing Customer Service Skills</w:t>
            </w:r>
          </w:p>
          <w:p>
            <w:pPr>
              <w:spacing w:after="30" w:before="30"/>
            </w:pPr>
            <w:r>
              <w:rPr>
                <w:rFonts w:ascii="Arial" w:cs="Arial" w:eastAsia="Arial" w:hAnsi="Arial"/>
                <w:color w:val="2D3748"/>
                <w:sz w:val="18"/>
                <w:szCs w:val="18"/>
              </w:rPr>
              <w:t xml:space="preserve">— Exploring the Concept of Branding</w:t>
            </w:r>
          </w:p>
          <w:p>
            <w:pPr>
              <w:spacing w:after="30" w:before="30"/>
            </w:pPr>
            <w:r>
              <w:rPr>
                <w:rFonts w:ascii="Arial" w:cs="Arial" w:eastAsia="Arial" w:hAnsi="Arial"/>
                <w:color w:val="2D3748"/>
                <w:sz w:val="18"/>
                <w:szCs w:val="18"/>
              </w:rPr>
              <w:t xml:space="preserve">— Describing Product Development</w:t>
            </w:r>
          </w:p>
          <w:p>
            <w:pPr>
              <w:spacing w:after="30" w:before="30"/>
            </w:pPr>
            <w:r>
              <w:rPr>
                <w:rFonts w:ascii="Arial" w:cs="Arial" w:eastAsia="Arial" w:hAnsi="Arial"/>
                <w:color w:val="2D3748"/>
                <w:sz w:val="18"/>
                <w:szCs w:val="18"/>
              </w:rPr>
              <w:t xml:space="preserve">— Exploring Pricing Strategies</w:t>
            </w:r>
          </w:p>
          <w:p>
            <w:pPr>
              <w:spacing w:after="30" w:before="30"/>
            </w:pPr>
            <w:r>
              <w:rPr>
                <w:rFonts w:ascii="Arial" w:cs="Arial" w:eastAsia="Arial" w:hAnsi="Arial"/>
                <w:color w:val="2D3748"/>
                <w:sz w:val="18"/>
                <w:szCs w:val="18"/>
              </w:rPr>
              <w:t xml:space="preserve">— Understanding Business Structure</w:t>
            </w:r>
          </w:p>
          <w:p>
            <w:pPr>
              <w:spacing w:after="30" w:before="30"/>
            </w:pPr>
            <w:r>
              <w:rPr>
                <w:rFonts w:ascii="Arial" w:cs="Arial" w:eastAsia="Arial" w:hAnsi="Arial"/>
                <w:color w:val="2D3748"/>
                <w:sz w:val="18"/>
                <w:szCs w:val="18"/>
              </w:rPr>
              <w:t xml:space="preserve">— Exploring Distribution Strategies</w:t>
            </w:r>
          </w:p>
          <w:p>
            <w:pPr>
              <w:spacing w:after="30" w:before="30"/>
            </w:pPr>
            <w:r>
              <w:rPr>
                <w:rFonts w:ascii="Arial" w:cs="Arial" w:eastAsia="Arial" w:hAnsi="Arial"/>
                <w:color w:val="2D3748"/>
                <w:sz w:val="18"/>
                <w:szCs w:val="18"/>
              </w:rPr>
              <w:t xml:space="preserve">— Developing a Promotional Mix</w:t>
            </w:r>
          </w:p>
          <w:p>
            <w:pPr>
              <w:spacing w:after="30" w:before="30"/>
            </w:pPr>
            <w:r>
              <w:rPr>
                <w:rFonts w:ascii="Arial" w:cs="Arial" w:eastAsia="Arial" w:hAnsi="Arial"/>
                <w:color w:val="2D3748"/>
                <w:sz w:val="18"/>
                <w:szCs w:val="18"/>
              </w:rPr>
              <w:t xml:space="preserve">— Exploring Forms and Techniques of Advertising</w:t>
            </w:r>
          </w:p>
          <w:p>
            <w:pPr>
              <w:spacing w:after="30" w:before="30"/>
            </w:pPr>
            <w:r>
              <w:rPr>
                <w:rFonts w:ascii="Arial" w:cs="Arial" w:eastAsia="Arial" w:hAnsi="Arial"/>
                <w:color w:val="2D3748"/>
                <w:sz w:val="18"/>
                <w:szCs w:val="18"/>
              </w:rPr>
              <w:t xml:space="preserve">— Using Digital Media</w:t>
            </w:r>
          </w:p>
          <w:p>
            <w:pPr>
              <w:spacing w:after="30" w:before="30"/>
            </w:pPr>
            <w:r>
              <w:rPr>
                <w:rFonts w:ascii="Arial" w:cs="Arial" w:eastAsia="Arial" w:hAnsi="Arial"/>
                <w:color w:val="2D3748"/>
                <w:sz w:val="18"/>
                <w:szCs w:val="18"/>
              </w:rPr>
              <w:t xml:space="preserve">— Exploring Public and Media Relations</w:t>
            </w:r>
          </w:p>
          <w:p>
            <w:pPr>
              <w:spacing w:after="30" w:before="30"/>
            </w:pPr>
            <w:r>
              <w:rPr>
                <w:rFonts w:ascii="Arial" w:cs="Arial" w:eastAsia="Arial" w:hAnsi="Arial"/>
                <w:color w:val="2D3748"/>
                <w:sz w:val="18"/>
                <w:szCs w:val="18"/>
              </w:rPr>
              <w:t xml:space="preserve">— Exploring Sponsorship and Endorsements</w:t>
            </w:r>
          </w:p>
          <w:p>
            <w:pPr>
              <w:spacing w:after="30" w:before="30"/>
            </w:pPr>
            <w:r>
              <w:rPr>
                <w:rFonts w:ascii="Arial" w:cs="Arial" w:eastAsia="Arial" w:hAnsi="Arial"/>
                <w:color w:val="2D3748"/>
                <w:sz w:val="18"/>
                <w:szCs w:val="18"/>
              </w:rPr>
              <w:t xml:space="preserve">— Exploring Sales Promotion</w:t>
            </w:r>
          </w:p>
          <w:p>
            <w:pPr>
              <w:spacing w:after="30" w:before="30"/>
            </w:pPr>
            <w:r>
              <w:rPr>
                <w:rFonts w:ascii="Arial" w:cs="Arial" w:eastAsia="Arial" w:hAnsi="Arial"/>
                <w:color w:val="2D3748"/>
                <w:sz w:val="18"/>
                <w:szCs w:val="18"/>
              </w:rPr>
              <w:t xml:space="preserve">— Describing the Sales Process</w:t>
            </w:r>
          </w:p>
          <w:p>
            <w:pPr>
              <w:spacing w:after="30" w:before="30"/>
            </w:pPr>
            <w:r>
              <w:rPr>
                <w:rFonts w:ascii="Arial" w:cs="Arial" w:eastAsia="Arial" w:hAnsi="Arial"/>
                <w:color w:val="2D3748"/>
                <w:sz w:val="18"/>
                <w:szCs w:val="18"/>
              </w:rPr>
              <w:t xml:space="preserve">— Describing the Economics of the Industries</w:t>
            </w:r>
          </w:p>
          <w:p>
            <w:pPr>
              <w:spacing w:after="30" w:before="30"/>
            </w:pPr>
            <w:r>
              <w:rPr>
                <w:rFonts w:ascii="Arial" w:cs="Arial" w:eastAsia="Arial" w:hAnsi="Arial"/>
                <w:color w:val="2D3748"/>
                <w:sz w:val="18"/>
                <w:szCs w:val="18"/>
              </w:rPr>
              <w:t xml:space="preserve">— Exploring the Marketing Plan</w:t>
            </w:r>
          </w:p>
          <w:p>
            <w:pPr>
              <w:spacing w:after="30" w:before="30"/>
            </w:pPr>
            <w:r>
              <w:rPr>
                <w:rFonts w:ascii="Arial" w:cs="Arial" w:eastAsia="Arial" w:hAnsi="Arial"/>
                <w:color w:val="2D3748"/>
                <w:sz w:val="18"/>
                <w:szCs w:val="18"/>
              </w:rPr>
              <w:t xml:space="preserve">— Developing Job Search Skills</w:t>
            </w:r>
          </w:p>
          <w:p>
            <w:pPr>
              <w:spacing w:after="30" w:before="30"/>
            </w:pPr>
            <w:r>
              <w:rPr>
                <w:rFonts w:ascii="Arial" w:cs="Arial" w:eastAsia="Arial" w:hAnsi="Arial"/>
                <w:color w:val="2D3748"/>
                <w:sz w:val="18"/>
                <w:szCs w:val="18"/>
              </w:rPr>
              <w:t xml:space="preserve">— (+ Developing Interpersonal Skills — listed separately in registry)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ID format:</w:t>
            </w:r>
          </w:p>
          <w:p>
            <w:r>
              <w:rPr>
                <w:rFonts w:ascii="Arial" w:cs="Arial" w:eastAsia="Arial" w:hAnsi="Arial"/>
                <w:color w:val="2D3748"/>
                <w:sz w:val="20"/>
                <w:szCs w:val="20"/>
              </w:rPr>
              <w:t xml:space="preserve">COURSECODE-N where COURSECODE is the Virginia CTE course number and N is the task number from the official competency record. e.g. 8177-15 = Management course, task 15. Task numbers are sort keys in the modal — competencies display in curriculum order, not alphabetically.</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SETUP</w:t>
      </w:r>
    </w:p>
    <w:p>
      <w:pPr>
        <w:pStyle w:val="Heading2"/>
        <w:spacing w:after="80" w:before="180"/>
      </w:pPr>
      <w:r>
        <w:rPr>
          <w:rFonts w:ascii="Arial" w:cs="Arial" w:eastAsia="Arial" w:hAnsi="Arial"/>
          <w:b/>
          <w:bCs/>
          <w:color w:val="2D3748"/>
          <w:sz w:val="26"/>
          <w:szCs w:val="26"/>
        </w:rPr>
        <w:t xml:space="preserve">Deployment checklist</w:t>
      </w:r>
    </w:p>
    <w:p>
      <w:pPr>
        <w:spacing w:after="60" w:before="60"/>
        <w:jc w:val="left"/>
      </w:pPr>
      <w:r>
        <w:rPr>
          <w:rFonts w:ascii="Arial" w:cs="Arial" w:eastAsia="Arial" w:hAnsi="Arial"/>
          <w:b w:val="false"/>
          <w:bCs w:val="false"/>
          <w:i w:val="false"/>
          <w:iCs w:val="false"/>
          <w:color w:val="000000"/>
          <w:sz w:val="22"/>
          <w:szCs w:val="22"/>
        </w:rPr>
        <w:t xml:space="preserve">Nine steps. Steps 1–5 are one-time setup. Steps 6–8 are code deployment. Step 9 is verification.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1</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00 — add Module 2 tab names and config key</w:t>
            </w:r>
          </w:p>
          <w:p>
            <w:pPr>
              <w:spacing w:after="0" w:before="0"/>
            </w:pPr>
            <w:r>
              <w:rPr>
                <w:rFonts w:ascii="Arial" w:cs="Arial" w:eastAsia="Arial" w:hAnsi="Arial"/>
                <w:color w:val="555555"/>
                <w:sz w:val="20"/>
                <w:szCs w:val="20"/>
              </w:rPr>
              <w:t xml:space="preserve">Open 00_SharedConfig.js in every Apps Script project that needs M2 access (Central Ledger project and Script 07 project). Add FOUR tab name keys to the tabs object inside getConfig_(), and one new config key to the main return object. Paste from 00_SharedConfig_M2_ADDENDUM.js. Keys: lessonContext, competencyRegistry, alignmentLog, reportRegistry. Config key: m2Enabled.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2</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Set Script Property — M2_ENABLED</w:t>
            </w:r>
          </w:p>
          <w:p>
            <w:pPr>
              <w:spacing w:after="0" w:before="0"/>
            </w:pPr>
            <w:r>
              <w:rPr>
                <w:rFonts w:ascii="Arial" w:cs="Arial" w:eastAsia="Arial" w:hAnsi="Arial"/>
                <w:color w:val="555555"/>
                <w:sz w:val="20"/>
                <w:szCs w:val="20"/>
              </w:rPr>
              <w:t xml:space="preserve">In the Central Ledger project: Script Editor → Project Settings → Script Properties. Add M2_ENABLED = true. Note: absent property is treated as enabled (same as true). For colleague deployments, set M2_ENABLED = false in Script Properties before sharing the ledger clone, then have the colleague set it to true after completing their own setup. See architectural decisions — M2_ENABLED DEFAULT.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3</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Add Scripts 22, 22b, and 26 to the Central Ledger project</w:t>
            </w:r>
          </w:p>
          <w:p>
            <w:pPr>
              <w:spacing w:after="0" w:before="0"/>
            </w:pPr>
            <w:r>
              <w:rPr>
                <w:rFonts w:ascii="Arial" w:cs="Arial" w:eastAsia="Arial" w:hAnsi="Arial"/>
                <w:color w:val="555555"/>
                <w:sz w:val="20"/>
                <w:szCs w:val="20"/>
              </w:rPr>
              <w:t xml:space="preserve">In the Central Ledger Apps Script project (same project as Scripts 02, 03, 04, etc.), create three new script files and paste the contents of each. File names must match exactly: 22_LessonContextHandler, 22b_CompetencyRegistryImporter, 26_CompetencyAlignmentLog.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4</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Create the four new tabs — run createModule2Tabs_()</w:t>
            </w:r>
          </w:p>
          <w:p>
            <w:pPr>
              <w:spacing w:after="0" w:before="0"/>
            </w:pPr>
            <w:r>
              <w:rPr>
                <w:rFonts w:ascii="Arial" w:cs="Arial" w:eastAsia="Arial" w:hAnsi="Arial"/>
                <w:color w:val="555555"/>
                <w:sz w:val="20"/>
                <w:szCs w:val="20"/>
              </w:rPr>
              <w:t xml:space="preserve">From the Script Editor in the Central Ledger project, run createModule2Tabs_() from Script 22. This creates LessonContext, CompetencyRegistry, AlignmentLog, and ReportRegistry tabs with correct headers and frozen first rows. Safe to re-run — skips tabs that already exist.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5</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Import competency data — run importCompetencyRegistry()</w:t>
            </w:r>
          </w:p>
          <w:p>
            <w:pPr>
              <w:spacing w:after="0" w:before="0"/>
            </w:pPr>
            <w:r>
              <w:rPr>
                <w:rFonts w:ascii="Arial" w:cs="Arial" w:eastAsia="Arial" w:hAnsi="Arial"/>
                <w:color w:val="555555"/>
                <w:sz w:val="20"/>
                <w:szCs w:val="20"/>
              </w:rPr>
              <w:t xml:space="preserve">Upload CompetencyRegistry.csv to your teacher Drive folder. Then run importCompetencyRegistry() from Script 22b. Confirm 221 rows by running validateRegistryImport() — it logs a summary by subject and flags any missing required fields. Expected: 108 rows for course 8177, 113 rows for course 8175.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6</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Install Module 2 trigger — run installModule2Triggers_()</w:t>
            </w:r>
          </w:p>
          <w:p>
            <w:pPr>
              <w:spacing w:after="0" w:before="0"/>
            </w:pPr>
            <w:r>
              <w:rPr>
                <w:rFonts w:ascii="Arial" w:cs="Arial" w:eastAsia="Arial" w:hAnsi="Arial"/>
                <w:color w:val="555555"/>
                <w:sz w:val="20"/>
                <w:szCs w:val="20"/>
              </w:rPr>
              <w:t xml:space="preserve">Run installModule2Triggers_() from Script 22 once. This installs runAlignmentLogBackfill_ as a time-based trigger firing every 5 minutes. It also logs the status of all four required tabs. Safe to re-run — checks for an existing trigger before installing a duplicate.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7</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07 — redeploy Teacher Dashboard</w:t>
            </w:r>
          </w:p>
          <w:p>
            <w:pPr>
              <w:spacing w:after="0" w:before="0"/>
            </w:pPr>
            <w:r>
              <w:rPr>
                <w:rFonts w:ascii="Arial" w:cs="Arial" w:eastAsia="Arial" w:hAnsi="Arial"/>
                <w:color w:val="555555"/>
                <w:sz w:val="20"/>
                <w:szCs w:val="20"/>
              </w:rPr>
              <w:t xml:space="preserve">Replace the contents of the Script 07 project with the updated 07_TeacherDashboard.js file. Deploy → Manage deployments → select existing deployment → Edit → Version: New version → Deploy. The URL does not change. Teachers do not need a new link.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8</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Verify Script Properties — confirm teacher identity fields</w:t>
            </w:r>
          </w:p>
          <w:p>
            <w:pPr>
              <w:spacing w:after="0" w:before="0"/>
            </w:pPr>
            <w:r>
              <w:rPr>
                <w:rFonts w:ascii="Arial" w:cs="Arial" w:eastAsia="Arial" w:hAnsi="Arial"/>
                <w:color w:val="555555"/>
                <w:sz w:val="20"/>
                <w:szCs w:val="20"/>
              </w:rPr>
              <w:t xml:space="preserve">Check that TEACHER_EMAIL and TEACHER_NAME are set in the Central Ledger project's Script Properties. These are written by Script 16 during Module 1 setup. Script 22 reads them to inject teacher identity into every LessonContext row — if missing or misnamed, teacher_email will be blank on every submission.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9</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Smoke test — end-to-end verification</w:t>
            </w:r>
          </w:p>
          <w:p>
            <w:pPr>
              <w:spacing w:after="0" w:before="0"/>
            </w:pPr>
            <w:r>
              <w:rPr>
                <w:rFonts w:ascii="Arial" w:cs="Arial" w:eastAsia="Arial" w:hAnsi="Arial"/>
                <w:color w:val="555555"/>
                <w:sz w:val="20"/>
                <w:szCs w:val="20"/>
              </w:rPr>
              <w:t xml:space="preserve">Open the Teacher Dashboard URL. Click 'New Lesson.' Confirm both course tabs appear (8175 and 8177) and competencies load in task-number order within each duty area. Fill required fields, select 2–3 competencies across both tabs, click 'Log lesson.' Confirm toast appears. Then check the Central Ledger: (a) LessonContext tab — one new row, status = ALIGNMENT_LOGGED. (b) AlignmentLog tab — one row per competency selected, competency_text and strand populated. (c) ReportRegistry tab — exists with correct headers (report_id, generated_at, term, teacher_email, doc_id, doc_url, report_type). ReportRegistry will be empty until generateAlignmentReport() is run manually.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1"/>
              <w:right w:val="single" w:color="F59E0B" w:sz="1"/>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If the competency dropdown is empty after deployment:</w:t>
            </w:r>
          </w:p>
          <w:p>
            <w:r>
              <w:rPr>
                <w:rFonts w:ascii="Arial" w:cs="Arial" w:eastAsia="Arial" w:hAnsi="Arial"/>
                <w:color w:val="2D3748"/>
                <w:sz w:val="20"/>
                <w:szCs w:val="20"/>
              </w:rPr>
              <w:t xml:space="preserve">The most likely cause is that getCompetencies() found no rows matching the teacher's email or with a blank teacher_email. Check that the CompetencyRegistry import ran successfully (validateRegistryImport()) and that the teacher_email column in the imported rows is blank. The CSV as exported has blank teacher_email — shared rows visible to all teachers.</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OPEN QUESTIONS</w:t>
      </w:r>
    </w:p>
    <w:p>
      <w:pPr>
        <w:pStyle w:val="Heading2"/>
        <w:spacing w:after="80" w:before="180"/>
      </w:pPr>
      <w:r>
        <w:rPr>
          <w:rFonts w:ascii="Arial" w:cs="Arial" w:eastAsia="Arial" w:hAnsi="Arial"/>
          <w:b/>
          <w:bCs/>
          <w:color w:val="2D3748"/>
          <w:sz w:val="26"/>
          <w:szCs w:val="26"/>
        </w:rPr>
        <w:t xml:space="preserve">Decisions pending — before build expands</w:t>
      </w:r>
    </w:p>
    <w:p>
      <w:pPr>
        <w:spacing w:after="60" w:before="60"/>
        <w:jc w:val="left"/>
      </w:pPr>
      <w:r>
        <w:rPr>
          <w:rFonts w:ascii="Arial" w:cs="Arial" w:eastAsia="Arial" w:hAnsi="Arial"/>
          <w:b w:val="false"/>
          <w:bCs w:val="false"/>
          <w:i w:val="false"/>
          <w:iCs w:val="false"/>
          <w:color w:val="000000"/>
          <w:sz w:val="22"/>
          <w:szCs w:val="22"/>
        </w:rPr>
        <w:t xml:space="preserve">The following items remain open. The two items marked closed in v1.0 (SHARED IDs, M2_ENABLED default) have been moved to architectural decisions above.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Gates</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REPORT FORMAT</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Who receives the alignment doc and in what format?</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generateAlignmentReport() produces a Google Doc. If the district or administrator expects a specific template, PDF, or spreadsheet format, Script 26's report function needs to change before the report is shared externally.</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MULTI-TEACHER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Do colleagues share this Central Ledger or each get their own installation?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Architecture supports both. teacher_email column filters all data correctly in a shared ledger. If colleagues get separate installations, Script 28 (setup wizard extension) must exist before onboarding begins — manual setup is tractable for one teacher, not for three.</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WARM-UP</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What does a warm-up look like in these courses?</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Scripts 23–25 and Studio Flows 3–5 cannot be designed without a real example. What does the student see, what are they expected to do, how long should it take? One concrete example from the classroom is the design input for the entire warm-up subsystem.</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LESSON FRAME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What document does Script 27 open?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The S27 hook fires when the teacher submits a lesson context. What format, what content, what does the teacher do with it? This decision gates Script 27's design.</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STUDENT SCAFFOLD</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What information appears in the scaffold-{id} spans?</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Prior exposure count? A list of student names? A flag only when coverage exceeds a threshold? Spec needed before Module 3 student profiles exist.</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FORWARD HOOKS</w:t>
      </w:r>
    </w:p>
    <w:p>
      <w:pPr>
        <w:pStyle w:val="Heading2"/>
        <w:spacing w:after="80" w:before="180"/>
      </w:pPr>
      <w:r>
        <w:rPr>
          <w:rFonts w:ascii="Arial" w:cs="Arial" w:eastAsia="Arial" w:hAnsi="Arial"/>
          <w:b/>
          <w:bCs/>
          <w:color w:val="2D3748"/>
          <w:sz w:val="26"/>
          <w:szCs w:val="26"/>
        </w:rPr>
        <w:t xml:space="preserve">What's wired but dormant</w:t>
      </w:r>
    </w:p>
    <w:p>
      <w:pPr>
        <w:spacing w:after="60" w:before="60"/>
        <w:jc w:val="left"/>
      </w:pPr>
      <w:r>
        <w:rPr>
          <w:rFonts w:ascii="Arial" w:cs="Arial" w:eastAsia="Arial" w:hAnsi="Arial"/>
          <w:b w:val="false"/>
          <w:bCs w:val="false"/>
          <w:i w:val="false"/>
          <w:iCs w:val="false"/>
          <w:color w:val="000000"/>
          <w:sz w:val="22"/>
          <w:szCs w:val="22"/>
        </w:rPr>
        <w:t xml:space="preserve">Every future integration point is already present in the current codebase. Nothing needs to be retrofitted — only populated.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7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7"/>
                <w:szCs w:val="17"/>
              </w:rPr>
              <w:t xml:space="preserve">07_TeacherDashboard.js — submitLesson() client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DORMANT</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S27 hook — Lesson Frame doc. if (result.frameDocUrl) window.open(...). When Script 27 populates frameDocUrl, the generated doc opens immediately after submission. No frontend change required.</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7"/>
                <w:szCs w:val="17"/>
              </w:rPr>
              <w:t xml:space="preserve">07_TeacherDashboard.js — loadCompetencies() render</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DORMANT</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M3 hook — student scaffolding. Each competency item renders &lt;span class='c-scaffold' id='scaffold-{id}'&gt;. When Module 3 profiles exist, getStudentScaffoldingData() populates these spans. Currently empty and invisible.</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7"/>
                <w:szCs w:val="17"/>
              </w:rPr>
              <w:t xml:space="preserve">22_LessonContextHandler.js — onLessonContextSubmit_()</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DORMANT</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S27 hook — frameDocUrl return field. Server response always includes frameDocUrl: null. When Script 27 is built, it returns its URL here. Script 07's client handles the rest without any change to the response shape.</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7"/>
                <w:szCs w:val="17"/>
              </w:rPr>
              <w:t xml:space="preserve">22_LessonContextHandler.js — LessonContext tab</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LIVE</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key_vocabulary column. Warm-up generation (Studio Flow 3) will read this column to personalize warm-up prompts. Data is being collected now even though the consumer (Flow 3) doesn't exist yet.</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7"/>
                <w:szCs w:val="17"/>
              </w:rPr>
              <w:t xml:space="preserve">22_LessonContextHandler.js — LessonContext tab</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LIVE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prior_lesson_connection column. Lesson Frame Generator (Script 27) and Studio Flow 5 will use this. Collected now, consumed later.</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7"/>
                <w:szCs w:val="17"/>
              </w:rPr>
              <w:t xml:space="preserve">26_CompetencyAlignmentLog.js — AlignmentLog tab</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LIVE</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Module 3 competency history. When student profiles exist, the AlignmentLog becomes the source for competency-level coverage history. Script 23 (StudentProfileManager) will read from it.</w:t>
            </w:r>
          </w:p>
        </w:tc>
      </w:tr>
    </w:tbl>
    <w:p>
      <w:pPr>
        <w:spacing w:after="0" w:before="200"/>
      </w:pPr>
      <w:r>
        <w:t xml:space="preserve"/>
      </w:r>
    </w:p>
    <w:p>
      <w:pPr>
        <w:spacing w:after="60" w:before="60"/>
        <w:jc w:val="center"/>
      </w:pPr>
      <w:r>
        <w:rPr>
          <w:rFonts w:ascii="Arial" w:cs="Arial" w:eastAsia="Arial" w:hAnsi="Arial"/>
          <w:b w:val="false"/>
          <w:bCs w:val="false"/>
          <w:i/>
          <w:iCs/>
          <w:color w:val="888888"/>
          <w:sz w:val="18"/>
          <w:szCs w:val="18"/>
        </w:rPr>
        <w:t xml:space="preserve">Classroom Agency System · Module 2 Lightweight · Documentation v1.1</w:t>
      </w:r>
    </w:p>
    <w:p>
      <w:pPr>
        <w:spacing w:after="60" w:before="60"/>
        <w:jc w:val="center"/>
      </w:pPr>
      <w:r>
        <w:rPr>
          <w:rFonts w:ascii="Arial" w:cs="Arial" w:eastAsia="Arial" w:hAnsi="Arial"/>
          <w:b w:val="false"/>
          <w:bCs w:val="false"/>
          <w:i w:val="false"/>
          <w:iCs w:val="false"/>
          <w:color w:val="888888"/>
          <w:sz w:val="18"/>
          <w:szCs w:val="18"/>
        </w:rPr>
        <w:t xml:space="preserve">Scripts: 07 (mod) · 22 · 22b · 26 · Config addendum · CompetencyRegistry.csv</w:t>
      </w:r>
    </w:p>
    <w:p>
      <w:pPr>
        <w:spacing w:after="60" w:before="60"/>
        <w:jc w:val="center"/>
      </w:pPr>
      <w:r>
        <w:rPr>
          <w:rFonts w:ascii="Arial" w:cs="Arial" w:eastAsia="Arial" w:hAnsi="Arial"/>
          <w:b w:val="false"/>
          <w:bCs w:val="false"/>
          <w:i/>
          <w:iCs/>
          <w:color w:val="AAAAAA"/>
          <w:sz w:val="16"/>
          <w:szCs w:val="16"/>
        </w:rPr>
        <w:t xml:space="preserve">v1.1 corrections: TAB-COUNT · REPORTREGISTRY-SCHEMA · CONFIG-ADDENDUM-NARRATIVE · SHARED-IDS-DECISION · M2_ENABLED-DEFAULT · REPORT-TEACHER-FILTER · SMOKE-TEST-REPORTREGISTRY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2026-06-20T00:15:29.374Z</dcterms:created>
  <dcterms:modified xsi:type="dcterms:W3CDTF">2026-06-20T00:15:29.391Z</dcterms:modified>
</cp:coreProperties>
</file>

<file path=docProps/custom.xml><?xml version="1.0" encoding="utf-8"?>
<Properties xmlns="http://schemas.openxmlformats.org/officeDocument/2006/custom-properties" xmlns:vt="http://schemas.openxmlformats.org/officeDocument/2006/docPropsVTypes"/>
</file>