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20"/>
              <w:left w:type="dxa" w:w="160"/>
              <w:bottom w:type="dxa" w:w="120"/>
              <w:right w:type="dxa" w:w="160"/>
            </w:tcMar>
          </w:tcPr>
          <w:p>
            <w:r>
              <w:rPr>
                <w:rFonts w:ascii="Arial" w:cs="Arial" w:eastAsia="Arial" w:hAnsi="Arial"/>
                <w:b/>
                <w:bCs/>
                <w:color w:val="FFFFFF"/>
                <w:sz w:val="24"/>
                <w:szCs w:val="24"/>
              </w:rPr>
              <w:t xml:space="preserve">SPORTS, ENTERTAINMENT &amp; EVENT MARKETING / MANAGEMENT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LESSON CARDS — STAGE 6: PLACE / DISTRIBUTION</w:t>
            </w:r>
          </w:p>
        </w:tc>
      </w:tr>
    </w:tbl>
    <w:p>
      <w:pPr>
        <w:spacing w:after="0" w:before="120"/>
      </w:pPr>
      <w:r>
        <w:t xml:space="preserve"/>
      </w:r>
    </w:p>
    <w:p>
      <w:pPr>
        <w:spacing w:after="60" w:before="60"/>
        <w:jc w:val="left"/>
      </w:pPr>
      <w:r>
        <w:rPr>
          <w:rFonts w:ascii="Arial" w:cs="Arial" w:eastAsia="Arial" w:hAnsi="Arial"/>
          <w:b w:val="false"/>
          <w:bCs w:val="false"/>
          <w:i/>
          <w:iCs/>
          <w:color w:val="555555"/>
          <w:sz w:val="24"/>
          <w:szCs w:val="24"/>
        </w:rPr>
        <w:t xml:space="preserve">How does the conglomerate reach its audience — digitally and physically?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Distribution 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Place / Distribution — the digital channels and physical venues through which the conglomerate's products and experiences reach the school community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Courses covered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Sports, Entertainment &amp; Event Marketing  |  8177 Sports, Entertainment &amp; Event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Lesson units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units: Digital Media &amp; E-Commerce · Safety, Security &amp; Risk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Prerequisite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5 complete — Social Media Policy live, Customer Service Standards posted, school store open for first sales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Conglomerate milestone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By end of Stage 6: full digital platform strategy operational, content calendar active, streaming infrastructure tested, production safety protocols posted, Event Emergency Preparedness Plan submitted to administration, first home esports match cleared to proceed</w:t>
            </w:r>
          </w:p>
        </w:tc>
      </w:tr>
    </w:tbl>
    <w:p>
      <w:pPr>
        <w:spacing w:after="0" w:before="120"/>
      </w:pPr>
      <w:r>
        <w:t xml:space="preserve"/>
      </w:r>
    </w:p>
    <w:p>
      <w:pPr>
        <w:spacing w:after="60" w:before="60"/>
        <w:jc w:val="left"/>
      </w:pPr>
      <w:r>
        <w:rPr>
          <w:rFonts w:ascii="Arial" w:cs="Arial" w:eastAsia="Arial" w:hAnsi="Arial"/>
          <w:b w:val="false"/>
          <w:bCs w:val="false"/>
          <w:i/>
          <w:iCs/>
          <w:color w:val="444444"/>
          <w:sz w:val="22"/>
          <w:szCs w:val="22"/>
        </w:rPr>
        <w:t xml:space="preserve">Stage 6 is the operational expansion stage — the conglomerate reaches beyond its own classroom into the school and the digital world simultaneously. Card 1 builds the digital distribution infrastructure that extends reach beyond physical interactions. Card 2 ensures the physical distribution nodes — the production area, the store, and the event venue — are safe to operate and prepared for the unexpected. Neither card is complete without the other: a fully built digital presence is undermined by an event incident that wasn't planned for, and a fully prepared event space generates nothing if no one knows the event is happening.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STAGE 6  ·  PLACE / DISTRIBUTION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Digital Media &amp; E-Commerce</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BA751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Complementary</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78–82</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47</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Complementary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Place / Distribution — digital channels are how the conglomerate reaches its audience beyond the classroom</w:t>
            </w:r>
          </w:p>
        </w:tc>
      </w:tr>
    </w:tbl>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define current electronic marketing tools and platforms, identify methods for attracting and retaining customers digitally, identify target markets' preferred platforms, compare traditional and digital marketing, and explain how digital media generates revenue.</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identify how e-commerce and digital transactions affect sports, entertainment, and event businesses.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Build and operate the conglomerate's digital presence — choosing the right platforms for the right audiences, understanding how digital channels function as distribution nodes, and connecting digital activity to measurable revenue.</w:t>
            </w:r>
          </w:p>
        </w:tc>
      </w:tr>
    </w:tbl>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The school store has no online presence yet. A student who wants to order a custom jersey has to find you in person during the school day. A parent who wants to order a staff shirt has no idea the program exists. Map every friction point in that customer journey — and then describe what a basic digital presence would eliminate.</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Media &amp; PR has been operating the social channels since Stage 5. But posting content is not the same as understanding digital media as a distribution and revenue system. This unit gives the full strategic framework — platform selection, audience targeting, content strategy, and e-commerce mechanics — so that every digital decision from here forward is intentional rather than intuitive.</w:t>
      </w:r>
    </w:p>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Digital distribution channels are not just promotional tools — they are the primary way the conglomerate reaches its audience outside of physical interactions. The school store's social presence is a distribution node just as the physical store is. A well-run Instagram account drives foot traffic, custom order inquiries, and event attendance.</w:t>
      </w:r>
    </w:p>
    <w:p>
      <w:pPr>
        <w:pStyle w:val="ListParagraph"/>
        <w:numPr>
          <w:ilvl w:val="0"/>
          <w:numId w:val="2"/>
        </w:numPr>
        <w:spacing w:after="40" w:before="40"/>
      </w:pPr>
      <w:r>
        <w:rPr>
          <w:rFonts w:ascii="Arial" w:cs="Arial" w:eastAsia="Arial" w:hAnsi="Arial"/>
          <w:sz w:val="22"/>
          <w:szCs w:val="22"/>
        </w:rPr>
        <w:t xml:space="preserve">Platform selection is an audience decision, not a preference decision. The market research from Stage 3 identified which platforms the school community uses most. Students use that data — not personal preference — to decide where the conglomerate's digital presence lives.</w:t>
      </w:r>
    </w:p>
    <w:p>
      <w:pPr>
        <w:pStyle w:val="ListParagraph"/>
        <w:numPr>
          <w:ilvl w:val="0"/>
          <w:numId w:val="2"/>
        </w:numPr>
        <w:spacing w:after="40" w:before="40"/>
      </w:pPr>
      <w:r>
        <w:rPr>
          <w:rFonts w:ascii="Arial" w:cs="Arial" w:eastAsia="Arial" w:hAnsi="Arial"/>
          <w:sz w:val="22"/>
          <w:szCs w:val="22"/>
        </w:rPr>
        <w:t xml:space="preserve">Electronic marketing tools: social media (Instagram, TikTok, Twitter/X, Discord for esports communities), email marketing, streaming platforms (Twitch, YouTube for match coverage), school communication channels (announcements, digital signage), and the school store's POS system as a digital transaction point.</w:t>
      </w:r>
    </w:p>
    <w:p>
      <w:pPr>
        <w:pStyle w:val="ListParagraph"/>
        <w:numPr>
          <w:ilvl w:val="0"/>
          <w:numId w:val="2"/>
        </w:numPr>
        <w:spacing w:after="40" w:before="40"/>
      </w:pPr>
      <w:r>
        <w:rPr>
          <w:rFonts w:ascii="Arial" w:cs="Arial" w:eastAsia="Arial" w:hAnsi="Arial"/>
          <w:sz w:val="22"/>
          <w:szCs w:val="22"/>
        </w:rPr>
        <w:t xml:space="preserve">Traditional vs. digital marketing (Task 81): traditional marketing is broadcast — one message to many, with limited targeting and delayed feedback. Digital marketing is networked — targeted by audience segment, responsive to behavior, and measurable in real time. Both have roles in the conglomerate's promotional mix, but digital is the primary channel for reaching students.</w:t>
      </w:r>
    </w:p>
    <w:p>
      <w:pPr>
        <w:pStyle w:val="ListParagraph"/>
        <w:numPr>
          <w:ilvl w:val="0"/>
          <w:numId w:val="2"/>
        </w:numPr>
        <w:spacing w:after="40" w:before="40"/>
      </w:pPr>
      <w:r>
        <w:rPr>
          <w:rFonts w:ascii="Arial" w:cs="Arial" w:eastAsia="Arial" w:hAnsi="Arial"/>
          <w:sz w:val="22"/>
          <w:szCs w:val="22"/>
        </w:rPr>
        <w:t xml:space="preserve">Attracting and retaining customers digitally (Task 79): discovery (how new customers find the conglomerate), engagement (how the conglomerate keeps their attention), conversion (how attention becomes a purchase or event attendance), and retention (how satisfied customers become repeat customers and advocates).</w:t>
      </w:r>
    </w:p>
    <w:p>
      <w:pPr>
        <w:pStyle w:val="ListParagraph"/>
        <w:numPr>
          <w:ilvl w:val="0"/>
          <w:numId w:val="2"/>
        </w:numPr>
        <w:spacing w:after="40" w:before="40"/>
      </w:pPr>
      <w:r>
        <w:rPr>
          <w:rFonts w:ascii="Arial" w:cs="Arial" w:eastAsia="Arial" w:hAnsi="Arial"/>
          <w:sz w:val="22"/>
          <w:szCs w:val="22"/>
        </w:rPr>
        <w:t xml:space="preserve">Digital revenue generation (Task 82): direct revenue from digital channels includes online merchandise sales, digital ticket sales, and sponsored content. Indirect revenue includes brand awareness that drives in-store purchases and event attendance. The conglomerate tracks both.</w:t>
      </w:r>
    </w:p>
    <w:p>
      <w:pPr>
        <w:pStyle w:val="ListParagraph"/>
        <w:numPr>
          <w:ilvl w:val="0"/>
          <w:numId w:val="2"/>
        </w:numPr>
        <w:spacing w:after="40" w:before="40"/>
      </w:pPr>
      <w:r>
        <w:rPr>
          <w:rFonts w:ascii="Arial" w:cs="Arial" w:eastAsia="Arial" w:hAnsi="Arial"/>
          <w:sz w:val="22"/>
          <w:szCs w:val="22"/>
        </w:rPr>
        <w:t xml:space="preserve">E-commerce and digital transactions (8177 Task 47): digital transactions change the cash flow timing of the business — money arrives before fulfillment in most e-commerce models. This affects the Production Manager's scheduling and the Store Manager's inventory planning. Payment processing, refund policies, and data security are operational considerations, not just marketing ones.</w:t>
      </w:r>
    </w:p>
    <w:p>
      <w:pPr>
        <w:pStyle w:val="ListParagraph"/>
        <w:numPr>
          <w:ilvl w:val="0"/>
          <w:numId w:val="2"/>
        </w:numPr>
        <w:spacing w:after="40" w:before="40"/>
      </w:pPr>
      <w:r>
        <w:rPr>
          <w:rFonts w:ascii="Arial" w:cs="Arial" w:eastAsia="Arial" w:hAnsi="Arial"/>
          <w:sz w:val="22"/>
          <w:szCs w:val="22"/>
        </w:rPr>
        <w:t xml:space="preserve">Computer allocation during tournament mode: when all six computers shift to competition and streaming, Media &amp; PR loses its primary production workstation. Students build offline workflows — content scheduled in advance, templated responses queued — so digital presence continues without interruption.</w:t>
      </w:r>
    </w:p>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Media &amp; PR (primary) + School Store (e-commerce) + Esports Division (streaming and Discord)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audit the conglomerate's current digital footprint, build a platform strategy using market research data, establish a content calendar for the next four weeks, and connect the school store's POS to a simple digital order intake process. The large format printer produces a digital channel map — which platform serves which audience segment — for classroom display.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esports division has the most complex digital presence: match streaming on Twitch or YouTube Live, league standings and bracket updates on a public-facing platform, team social accounts, and a Discord server for the school community league. Students in the Esports and Media &amp; PR divisions collaboratively build the streaming and community management infrastructure, with clear role ownership for each channel.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7 (Promotion) — digital channels are the primary delivery mechanism for promotional content. Everything built here is infrastructure that Stage 7 fills with campaign content. Stage 8 (Synthesis) — the marketing plan's distribution strategy section is drawn directly from the platform strategy produced in this unit.</w:t>
            </w:r>
          </w:p>
        </w:tc>
      </w:tr>
    </w:tbl>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Digital infrastructure build + platform strategy + content calendar</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Three deliverables: (1) Platform strategy document — which platforms the conglomerate operates, which audience segment each serves, who owns each channel, and what the posting cadence is. Based on Stage 3 market research data. (2) Four-week content calendar — planned posts across all active platforms, including match coverage schedule, store promotion posts, and event announcements. (3) Digital order intake process — a simple form or link that allows custom order inquiries outside of school hours, connected to the Store Manager's workflow.</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Promotions &amp; Sponsorship rotation students lead the platform strategy and content calendar. They are responsible for the first four weeks of scheduled content across all channels. Brand &amp; Creative rotation students produce the visual templates for recurring content types — match day graphics, store product posts, event announcement formats — so that content production is efficient and brand-consistent.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Store Manager develops the digital order intake process and connects it to the POS workflow. General Manager reviews the platform strategy for alignment with the conglomerate's brand and ethical standards from Stage 5. Esports Division / League Manager builds and administers the Discord server for the school community league, establishing channel structure, moderation rules, and posting permissions.</w:t>
            </w:r>
          </w:p>
        </w:tc>
      </w:tr>
    </w:tbl>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(all 6 when available) — platform management, content creation, streaming setup (Twitch/YouTube), Discord server administration, content calendar management (Google Sheets or equivalent)</w:t>
      </w:r>
    </w:p>
    <w:p>
      <w:pPr>
        <w:pStyle w:val="ListParagraph"/>
        <w:numPr>
          <w:ilvl w:val="0"/>
          <w:numId w:val="2"/>
        </w:numPr>
        <w:spacing w:after="40" w:before="40"/>
      </w:pPr>
      <w:r>
        <w:rPr>
          <w:rFonts w:ascii="Arial" w:cs="Arial" w:eastAsia="Arial" w:hAnsi="Arial"/>
          <w:sz w:val="22"/>
          <w:szCs w:val="22"/>
        </w:rPr>
        <w:t xml:space="preserve">Large format printer — print the digital channel map and content calendar at poster scale for classroom display and division reference</w:t>
      </w:r>
    </w:p>
    <w:p>
      <w:pPr>
        <w:pStyle w:val="ListParagraph"/>
        <w:numPr>
          <w:ilvl w:val="0"/>
          <w:numId w:val="2"/>
        </w:numPr>
        <w:spacing w:after="40" w:before="40"/>
      </w:pPr>
      <w:r>
        <w:rPr>
          <w:rFonts w:ascii="Arial" w:cs="Arial" w:eastAsia="Arial" w:hAnsi="Arial"/>
          <w:sz w:val="22"/>
          <w:szCs w:val="22"/>
        </w:rPr>
        <w:t xml:space="preserve">Note: during tournament days all 6 computers shift to competition and streaming. Content must be pre-scheduled. Students build this constraint into the content calendar explicitly.</w:t>
      </w:r>
    </w:p>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Platform comparison (Task 80): students map each active platform against the school community's three market segments from Stage 3 — which segment uses which platform most, what content format performs best on each, and what posting frequency is sustainable with six computers and a shared production workstation.</w:t>
      </w:r>
    </w:p>
    <w:p>
      <w:pPr>
        <w:pStyle w:val="ListParagraph"/>
        <w:numPr>
          <w:ilvl w:val="0"/>
          <w:numId w:val="2"/>
        </w:numPr>
        <w:spacing w:after="40" w:before="40"/>
      </w:pPr>
      <w:r>
        <w:rPr>
          <w:rFonts w:ascii="Arial" w:cs="Arial" w:eastAsia="Arial" w:hAnsi="Arial"/>
          <w:sz w:val="22"/>
          <w:szCs w:val="22"/>
        </w:rPr>
        <w:t xml:space="preserve">Traditional vs. digital comparison (Task 81): students identify one marketing action the conglomerate takes in each category — a poster printed on the large format printer (traditional) and an Instagram post (digital) — and compare reach, cost, targeting precision, and measurability for each.</w:t>
      </w:r>
    </w:p>
    <w:p>
      <w:pPr>
        <w:pStyle w:val="ListParagraph"/>
        <w:numPr>
          <w:ilvl w:val="0"/>
          <w:numId w:val="2"/>
        </w:numPr>
        <w:spacing w:after="40" w:before="40"/>
      </w:pPr>
      <w:r>
        <w:rPr>
          <w:rFonts w:ascii="Arial" w:cs="Arial" w:eastAsia="Arial" w:hAnsi="Arial"/>
          <w:sz w:val="22"/>
          <w:szCs w:val="22"/>
        </w:rPr>
        <w:t xml:space="preserve">Revenue attribution (Task 82): students design a simple tracking system to measure which digital channel drives the most in-store traffic and custom order inquiries. How will the conglomerate know whether its Instagram account is worth the time investment?</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E-commerce operations deep dive (Task 47): management students map the full digital transaction lifecycle for a custom order — from inquiry form submission through payment, production scheduling, fulfillment, and follow-up. They identify every point where a delay or error could occur and document the contingency for each.</w:t>
      </w:r>
    </w:p>
    <w:p>
      <w:pPr>
        <w:pStyle w:val="ListParagraph"/>
        <w:numPr>
          <w:ilvl w:val="0"/>
          <w:numId w:val="2"/>
        </w:numPr>
        <w:spacing w:after="40" w:before="40"/>
      </w:pPr>
      <w:r>
        <w:rPr>
          <w:rFonts w:ascii="Arial" w:cs="Arial" w:eastAsia="Arial" w:hAnsi="Arial"/>
          <w:sz w:val="22"/>
          <w:szCs w:val="22"/>
        </w:rPr>
        <w:t xml:space="preserve">Digital security and data handling: the order intake form collects student names and contact information. Management students draft a simple data handling policy — what information is collected, how it is stored, who has access, and how it is disposed of. This connects to Task 16 (information security) from Stage 0.</w:t>
      </w:r>
    </w:p>
    <w:p>
      <w:pPr>
        <w:pStyle w:val="ListParagraph"/>
        <w:numPr>
          <w:ilvl w:val="0"/>
          <w:numId w:val="2"/>
        </w:numPr>
        <w:spacing w:after="40" w:before="40"/>
      </w:pPr>
      <w:r>
        <w:rPr>
          <w:rFonts w:ascii="Arial" w:cs="Arial" w:eastAsia="Arial" w:hAnsi="Arial"/>
          <w:sz w:val="22"/>
          <w:szCs w:val="22"/>
        </w:rPr>
        <w:t xml:space="preserve">Cash flow implications of e-commerce: if the digital order intake process accepts payment at order submission, the conglomerate receives revenue before producing the item. Students calculate the cash flow advantage of this model vs. pay-at-pickup, and identify the risk if an order cannot be fulfilled.</w:t>
      </w:r>
    </w:p>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Distribution channel</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path through which a product or service reaches the end consumer — physical store, online store, event, and social media are all distribution channels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Content calendar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planned schedule of digital content across platforms — what is posted, when, on which channel, and by whom</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Conversion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moment a potential customer takes a desired action — making a purchase, submitting an order form, or buying an event ticket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Engagement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Measurable audience interaction with digital content — likes, comments, shares, saves, and click-throughs — indicating relevance and reach</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E-commerce</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Commercial transactions conducted electronically — online merchandise sales, digital ticket purchases, and custom order intake are all e-commerce functions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Streaming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 or recorded video broadcast over the internet — the primary distribution channel for esports match coverage and the conglomerate's live content</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Discord</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community communication platform organized into servers and channels — the standard platform for esports team and league community management</w:t>
            </w:r>
          </w:p>
        </w:tc>
      </w:tr>
    </w:tbl>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78</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Define current electronic marketing tools and platforms.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79</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methods for attracting customers and establishing and maintaining customer relationships.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80</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target markets' preferred platforms for various electronic marketing tools.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81</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Compare traditional marketing and digital media marketing.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82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how digital media can be used to generate revenue.</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47</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how e-commerce and digital transactions affect sports, entertainment, and event businesses.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STAGE 6  ·  PLACE / DISTRIBUTION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Safety, Security &amp; Risk Management</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BA751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Complementary</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22 (workplace safety, from Stage 0 — deepened here in venue/event context)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67–68, 89–91</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Complementary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Place / Distribution — the physical venue is a distribution node, and it must be safe to operate</w:t>
            </w:r>
          </w:p>
        </w:tc>
      </w:tr>
    </w:tbl>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deepen Task 22 (workplace safety) in the specific context of event venues, equipment operation, and live event environments — sublimation equipment protocols, large format printer safety, and event-day physical safety.</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examine risk assessment and management strategies, examine challenges from uncontrollable variables, explain indoor and outdoor security types, explain venue and event security needs, and explain emergency preparedness plans.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Assess and manage the safety and security risks of every physical space the conglomerate operates in — the production area, the school store, and the event venue — and build the emergency preparedness framework for the esports league's first live event.</w:t>
            </w:r>
          </w:p>
        </w:tc>
      </w:tr>
    </w:tbl>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You are running the first home esports match. Forty students are watching in the gym. One of the competitors has a medical emergency mid-match. Another student near the exit is acting aggressively toward a spectator. The streaming computer goes down. Rank these three by urgency and walk through your response to each — who does what, in what order, and who gets told?</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The Events Manager and League Manager are about to run the first live event with an audience that includes students outside the program. Before that happens, every management student needs a risk assessment framework, an emergency plan, and clear role assignments for safety incidents. This is not a compliance exercise — it is operational preparation for a real event with real people.</w:t>
      </w:r>
    </w:p>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Risk assessment is the systematic identification of what could go wrong, how likely it is, how severe the consequences are, and what can be done to prevent or mitigate it. Every division in the conglomerate has a risk profile: production (equipment burns, chemical exposure from sublimation inks), the store (cash handling, slip hazards, theft), the event venue (crowd management, medical emergencies, equipment failure).</w:t>
      </w:r>
    </w:p>
    <w:p>
      <w:pPr>
        <w:pStyle w:val="ListParagraph"/>
        <w:numPr>
          <w:ilvl w:val="0"/>
          <w:numId w:val="2"/>
        </w:numPr>
        <w:spacing w:after="40" w:before="40"/>
      </w:pPr>
      <w:r>
        <w:rPr>
          <w:rFonts w:ascii="Arial" w:cs="Arial" w:eastAsia="Arial" w:hAnsi="Arial"/>
          <w:sz w:val="22"/>
          <w:szCs w:val="22"/>
        </w:rPr>
        <w:t xml:space="preserve">Uncontrollable variables in events (Task 68): weather (for any outdoor element), technology failure (streaming goes down mid-match), no-shows (teams that don't arrive), unexpected crowd behavior, and facility issues (power outage, fire alarm) are all outside the Events Manager's control. What is controllable is the response — which requires a plan built before the event.</w:t>
      </w:r>
    </w:p>
    <w:p>
      <w:pPr>
        <w:pStyle w:val="ListParagraph"/>
        <w:numPr>
          <w:ilvl w:val="0"/>
          <w:numId w:val="2"/>
        </w:numPr>
        <w:spacing w:after="40" w:before="40"/>
      </w:pPr>
      <w:r>
        <w:rPr>
          <w:rFonts w:ascii="Arial" w:cs="Arial" w:eastAsia="Arial" w:hAnsi="Arial"/>
          <w:sz w:val="22"/>
          <w:szCs w:val="22"/>
        </w:rPr>
        <w:t xml:space="preserve">Workplace safety deepened — equipment protocols: the sublimation printer and heat press operate at high temperatures. Task 22 established the general workplace safety framework; this unit applies it specifically. Heat press operating procedures, ink handling protocols, and equipment shutdown sequences are documented as part of the production SOP.</w:t>
      </w:r>
    </w:p>
    <w:p>
      <w:pPr>
        <w:pStyle w:val="ListParagraph"/>
        <w:numPr>
          <w:ilvl w:val="0"/>
          <w:numId w:val="2"/>
        </w:numPr>
        <w:spacing w:after="40" w:before="40"/>
      </w:pPr>
      <w:r>
        <w:rPr>
          <w:rFonts w:ascii="Arial" w:cs="Arial" w:eastAsia="Arial" w:hAnsi="Arial"/>
          <w:sz w:val="22"/>
          <w:szCs w:val="22"/>
        </w:rPr>
        <w:t xml:space="preserve">Venue security types (Task 89): life safety (preventing injury and death — fire exits, ADA access, medical response), property safety (preventing theft and damage — equipment security, cash handling), and crowd management (controlling access, preventing confrontation). All three apply at every conglomerate event.</w:t>
      </w:r>
    </w:p>
    <w:p>
      <w:pPr>
        <w:pStyle w:val="ListParagraph"/>
        <w:numPr>
          <w:ilvl w:val="0"/>
          <w:numId w:val="2"/>
        </w:numPr>
        <w:spacing w:after="40" w:before="40"/>
      </w:pPr>
      <w:r>
        <w:rPr>
          <w:rFonts w:ascii="Arial" w:cs="Arial" w:eastAsia="Arial" w:hAnsi="Arial"/>
          <w:sz w:val="22"/>
          <w:szCs w:val="22"/>
        </w:rPr>
        <w:t xml:space="preserve">Security needs of a specific venue (Task 90): the school's event spaces have existing security infrastructure — cameras, access controls, staff. Students assess what that infrastructure covers and what gaps exist for a student-run event. The esports venue (likely a gym, cafeteria, or classroom cluster) has different needs than a traditional sporting venue.</w:t>
      </w:r>
    </w:p>
    <w:p>
      <w:pPr>
        <w:pStyle w:val="ListParagraph"/>
        <w:numPr>
          <w:ilvl w:val="0"/>
          <w:numId w:val="2"/>
        </w:numPr>
        <w:spacing w:after="40" w:before="40"/>
      </w:pPr>
      <w:r>
        <w:rPr>
          <w:rFonts w:ascii="Arial" w:cs="Arial" w:eastAsia="Arial" w:hAnsi="Arial"/>
          <w:sz w:val="22"/>
          <w:szCs w:val="22"/>
        </w:rPr>
        <w:t xml:space="preserve">Emergency preparedness plans (Task 91): a written plan that specifies what happens when something goes wrong — who is the incident commander, what is the communication chain, where are the evacuation routes, who calls 911, and how is the event documented afterward. Not theoretical — this plan is submitted to the school administration before the first public event.</w:t>
      </w:r>
    </w:p>
    <w:p>
      <w:pPr>
        <w:pStyle w:val="ListParagraph"/>
        <w:numPr>
          <w:ilvl w:val="0"/>
          <w:numId w:val="2"/>
        </w:numPr>
        <w:spacing w:after="40" w:before="40"/>
      </w:pPr>
      <w:r>
        <w:rPr>
          <w:rFonts w:ascii="Arial" w:cs="Arial" w:eastAsia="Arial" w:hAnsi="Arial"/>
          <w:sz w:val="22"/>
          <w:szCs w:val="22"/>
        </w:rPr>
        <w:t xml:space="preserve">Risk management strategies: avoidance (don't do the activity), reduction (add safety measures), transfer (insurance, waivers), and acceptance (acknowledge and monitor low-probability risks). Students identify which strategy applies to each identified risk in the conglomerate's risk register.</w:t>
      </w:r>
    </w:p>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Events Division + Esports Division (primary) + Apparel &amp; Merch Co. (equipment safety)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produce three safety and security documents: the Production Area Safety Protocol (Apparel &amp; Merch), the School Store Safety Checklist, and the Event Safety &amp; Emergency Preparedness Plan. The third document is submitted to school administration before the first public event. Events Manager owns the preparedness plan; General Manager signs off; teacher reviews before submission.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first home esports match is the test case for this entire unit. Students conduct a tabletop exercise — walking through three emergency scenarios in the event space before the event happens: a medical emergency, a crowd confrontation, and a technology failure. Each scenario has a documented response protocol. The League Manager assigns safety roles to non-competing students for every home match.</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7 (Promotion) — event promotion cannot begin until the Events Manager confirms the safety plan is in place. Stage 8 (Synthesis) — the event management section of the marketing plan references the preparedness framework. This unit also retroactively strengthens Stage 0's Task 22 competency rating for every student.</w:t>
            </w:r>
          </w:p>
        </w:tc>
      </w:tr>
    </w:tbl>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Risk assessment + safety documentation + tabletop exercise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Three deliverables: (1) Conglomerate Risk Register — a table listing every identified risk across all divisions, rated by likelihood and severity, with a mitigation strategy for each. (2) Production Area Safety Protocol — equipment-specific safety procedures for the sublimation printer, heat press, and large format printer. Laminated and posted at each machine. (3) Event Safety &amp; Emergency Preparedness Plan — a written plan covering crowd management, medical response, technology failure, and evacuation for the first home esports match. Submitted to administration.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8175 rotation students contribute to the Risk Register by identifying risks specific to their current rotation track — Creative Studio students identify design workstation risks, Sales students identify store floor risks. Students in the Promotions track identify digital security risks (account compromise, inappropriate content posted without authorization).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Events Manager drafts and owns the Emergency Preparedness Plan. Production Manager drafts and owns the Production Area Safety Protocol. General Manager compiles the Risk Register and submits the preparedness plan to administration. All 8177 students complete a written risk assessment for their specific division role — what are the top three risks in my function, and what is my mitigation for each?</w:t>
            </w:r>
          </w:p>
        </w:tc>
      </w:tr>
    </w:tbl>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Sublimation printer — safety protocol documentation: operating temperature limits, ink handling procedures, ventilation requirements, shutdown sequence</w:t>
      </w:r>
    </w:p>
    <w:p>
      <w:pPr>
        <w:pStyle w:val="ListParagraph"/>
        <w:numPr>
          <w:ilvl w:val="0"/>
          <w:numId w:val="2"/>
        </w:numPr>
        <w:spacing w:after="40" w:before="40"/>
      </w:pPr>
      <w:r>
        <w:rPr>
          <w:rFonts w:ascii="Arial" w:cs="Arial" w:eastAsia="Arial" w:hAnsi="Arial"/>
          <w:sz w:val="22"/>
          <w:szCs w:val="22"/>
        </w:rPr>
        <w:t xml:space="preserve">Heat press — safety protocol documentation: platen temperature settings, timer protocols, burn prevention, cool-down procedure</w:t>
      </w:r>
    </w:p>
    <w:p>
      <w:pPr>
        <w:pStyle w:val="ListParagraph"/>
        <w:numPr>
          <w:ilvl w:val="0"/>
          <w:numId w:val="2"/>
        </w:numPr>
        <w:spacing w:after="40" w:before="40"/>
      </w:pPr>
      <w:r>
        <w:rPr>
          <w:rFonts w:ascii="Arial" w:cs="Arial" w:eastAsia="Arial" w:hAnsi="Arial"/>
          <w:sz w:val="22"/>
          <w:szCs w:val="22"/>
        </w:rPr>
        <w:t xml:space="preserve">Large format printer — safety protocol documentation: ink cartridge handling, paper jam resolution, electrical safety</w:t>
      </w:r>
    </w:p>
    <w:p>
      <w:pPr>
        <w:pStyle w:val="ListParagraph"/>
        <w:numPr>
          <w:ilvl w:val="0"/>
          <w:numId w:val="2"/>
        </w:numPr>
        <w:spacing w:after="40" w:before="40"/>
      </w:pPr>
      <w:r>
        <w:rPr>
          <w:rFonts w:ascii="Arial" w:cs="Arial" w:eastAsia="Arial" w:hAnsi="Arial"/>
          <w:sz w:val="22"/>
          <w:szCs w:val="22"/>
        </w:rPr>
        <w:t xml:space="preserve">Computers — risk register development (Google Sheets), emergency plan drafting, tabletop exercise facilitation</w:t>
      </w:r>
    </w:p>
    <w:p>
      <w:pPr>
        <w:pStyle w:val="ListParagraph"/>
        <w:numPr>
          <w:ilvl w:val="0"/>
          <w:numId w:val="2"/>
        </w:numPr>
        <w:spacing w:after="40" w:before="40"/>
      </w:pPr>
      <w:r>
        <w:rPr>
          <w:rFonts w:ascii="Arial" w:cs="Arial" w:eastAsia="Arial" w:hAnsi="Arial"/>
          <w:sz w:val="22"/>
          <w:szCs w:val="22"/>
        </w:rPr>
        <w:t xml:space="preserve">Large format printer — print laminated safety protocols for posting at each machine; print the event safety plan summary for event-day reference</w:t>
      </w:r>
    </w:p>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Workplace safety application (Task 22 extension): students write the safety orientation script for a new student joining the Apparel &amp; Merch division — a plain-language walkthrough of every piece of equipment they will use, what can go wrong, and what to do if it does. This becomes part of the onboarding process for new rotation students.</w:t>
      </w:r>
    </w:p>
    <w:p>
      <w:pPr>
        <w:pStyle w:val="ListParagraph"/>
        <w:numPr>
          <w:ilvl w:val="0"/>
          <w:numId w:val="2"/>
        </w:numPr>
        <w:spacing w:after="40" w:before="40"/>
      </w:pPr>
      <w:r>
        <w:rPr>
          <w:rFonts w:ascii="Arial" w:cs="Arial" w:eastAsia="Arial" w:hAnsi="Arial"/>
          <w:sz w:val="22"/>
          <w:szCs w:val="22"/>
        </w:rPr>
        <w:t xml:space="preserve">Risk identification exercise: students spend 10 minutes in each division space (production area, store, event space) and document every physical hazard they observe. Results are compiled into the Risk Register and cross-referenced with the mitigation strategies management students propose.</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Risk assessment framework (Task 67): management students build a formal 3x3 risk matrix — likelihood (low/medium/high) vs. severity (low/medium/high) — and plot every identified risk from the Risk Register. Risks in the high/high quadrant require immediate mitigation. Students present their matrix and top three priority risks to the class.</w:t>
      </w:r>
    </w:p>
    <w:p>
      <w:pPr>
        <w:pStyle w:val="ListParagraph"/>
        <w:numPr>
          <w:ilvl w:val="0"/>
          <w:numId w:val="2"/>
        </w:numPr>
        <w:spacing w:after="40" w:before="40"/>
      </w:pPr>
      <w:r>
        <w:rPr>
          <w:rFonts w:ascii="Arial" w:cs="Arial" w:eastAsia="Arial" w:hAnsi="Arial"/>
          <w:sz w:val="22"/>
          <w:szCs w:val="22"/>
        </w:rPr>
        <w:t xml:space="preserve">Uncontrollable variables planning (Task 68): students develop contingency protocols for three specific uncontrollable scenarios at the first home match — streaming failure, no-show team, and severe weather affecting the venue. Each contingency specifies the decision point, who decides, and what the communication to spectators looks like.</w:t>
      </w:r>
    </w:p>
    <w:p>
      <w:pPr>
        <w:pStyle w:val="ListParagraph"/>
        <w:numPr>
          <w:ilvl w:val="0"/>
          <w:numId w:val="2"/>
        </w:numPr>
        <w:spacing w:after="40" w:before="40"/>
      </w:pPr>
      <w:r>
        <w:rPr>
          <w:rFonts w:ascii="Arial" w:cs="Arial" w:eastAsia="Arial" w:hAnsi="Arial"/>
          <w:sz w:val="22"/>
          <w:szCs w:val="22"/>
        </w:rPr>
        <w:t xml:space="preserve">Venue security assessment (Task 90): Events Manager and League Manager conduct a walkthrough of the planned event space and complete a formal security assessment checklist — exits, sight lines, crowd capacity, ADA access, equipment security, cash handling points. Gaps are documented and resolved before the event.</w:t>
      </w:r>
    </w:p>
    <w:p>
      <w:pPr>
        <w:pStyle w:val="ListParagraph"/>
        <w:numPr>
          <w:ilvl w:val="0"/>
          <w:numId w:val="2"/>
        </w:numPr>
        <w:spacing w:after="40" w:before="40"/>
      </w:pPr>
      <w:r>
        <w:rPr>
          <w:rFonts w:ascii="Arial" w:cs="Arial" w:eastAsia="Arial" w:hAnsi="Arial"/>
          <w:sz w:val="22"/>
          <w:szCs w:val="22"/>
        </w:rPr>
        <w:t xml:space="preserve">Emergency preparedness plan in depth (Task 91): the plan submitted to administration must include: incident command structure (who is in charge of what during an emergency), communication chain (who calls 911, who notifies the principal, who manages the crowd), evacuation route map, and post-incident documentation protocol.</w:t>
      </w:r>
    </w:p>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Risk assessment</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systematic process of identifying potential hazards, evaluating their likelihood and severity, and determining appropriate responses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Risk register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documented list of identified risks, each rated by likelihood and severity, with assigned mitigation strategies and responsible owners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Incident commander</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designated person responsible for coordinating the response to an emergency — in the conglomerate, this is the Events Manager or General Manager depending on the situation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Contingency plan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pre-built response protocol for a specific foreseeable problem — 'if X happens, then Y does Z' — developed before the event so decisions don't have to be made under pressure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Life safety</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Measures designed to prevent injury or death — fire exits, emergency lighting, medical response access, and evacuation routes are all life safety elements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Tabletop exercise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discussion-based practice session where participants walk through an emergency scenario verbally — identifying gaps in the plan before a real incident exposes them</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Risk matrix</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grid that plots identified risks by likelihood and severity — used to prioritize which risks require immediate attention and which can be monitored</w:t>
            </w:r>
          </w:p>
        </w:tc>
      </w:tr>
    </w:tbl>
    <w:p>
      <w:pPr>
        <w:spacing w:after="0" w:before="120"/>
      </w:pPr>
      <w:r>
        <w:t xml:space="preserve"/>
      </w:r>
    </w:p>
    <w:p>
      <w:pPr>
        <w:pBdr>
          <w:bottom w:val="single" w:color="1A5276" w:sz="4" w:space="2"/>
        </w:pBdr>
        <w:spacing w:after="60" w:before="200"/>
      </w:pPr>
      <w:r>
        <w:rPr>
          <w:rFonts w:ascii="Arial" w:cs="Arial" w:eastAsia="Arial" w:hAnsi="Arial"/>
          <w:b/>
          <w:bCs/>
          <w:color w:val="1A5276"/>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22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Demonstrate workplace safety. (Deepened in event/venue context — original assessment from Stage 0)</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67</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Examine the importance of risk assessment and management strategies in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68</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Examine the challenges posed by uncontrollable variables in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89</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the importance and types of indoor and outdoor security (i.e., life and property safety).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90</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security needs of a venue and/or event.</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91</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the use of emergency preparedness plans to address threats to a venue and/or event.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2026-06-14T16:27:29.375Z</dcterms:created>
  <dcterms:modified xsi:type="dcterms:W3CDTF">2026-06-14T16:27:29.375Z</dcterms:modified>
</cp:coreProperties>
</file>

<file path=docProps/custom.xml><?xml version="1.0" encoding="utf-8"?>
<Properties xmlns="http://schemas.openxmlformats.org/officeDocument/2006/custom-properties" xmlns:vt="http://schemas.openxmlformats.org/officeDocument/2006/docPropsVTypes"/>
</file>