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120"/>
              <w:left w:type="dxa" w:w="160"/>
              <w:bottom w:type="dxa" w:w="120"/>
              <w:right w:type="dxa" w:w="160"/>
            </w:tcMar>
          </w:tcPr>
          <w:p>
            <w:r>
              <w:rPr>
                <w:rFonts w:ascii="Arial" w:cs="Arial" w:eastAsia="Arial" w:hAnsi="Arial"/>
                <w:b/>
                <w:bCs/>
                <w:color w:val="FFFFFF"/>
                <w:sz w:val="24"/>
                <w:szCs w:val="24"/>
              </w:rPr>
              <w:t xml:space="preserve">LESSON CARDS — STAGE 9: CONSUMER → PRODUCER</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Where do you enter the chain — and how do you prove you're ready?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Consumer → Producer — students end as consumers who understand the full chain and enter as producers with documented evidence of that understanding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 unit: Career Development &amp; Job Search</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8 complete — marketing plan submitted, season-end event evaluation complete, year-two priorities drafted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9: every student has a professional résumé grounded in real WBL experience, a networking plan with documented contacts, a career plan with a realistic trajectory, and a portfolio of artifacts produced across the year. The program's administrative cycle closes with the marketing plan and event evaluation already in the administrator's hands.</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9 is the only stage where the primary activity is looking backward rather than forward. Students have walked the entire distribution chain — from professional identity through industry, product, market, price, rules, place, promotion, strategy, and now career. The chain they studied abstractly in Stage 1 is the chain they operated concretely across Stages 2–8. Career readiness taught at this moment is not hypothetical — it is the translation of documented experience into the language employers use. The warm-up is the single most important interview answer a student from this program can give. Every prior stage is the evidence behind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tcPr>
          <w:p>
            <w:r>
              <w:rPr>
                <w:rFonts w:ascii="Arial" w:cs="Arial" w:eastAsia="Arial" w:hAnsi="Arial"/>
                <w:b/>
                <w:bCs/>
                <w:color w:val="FFFFFF"/>
                <w:sz w:val="20"/>
                <w:szCs w:val="20"/>
              </w:rPr>
              <w:t xml:space="preserve">A NOTE ON SEQUENCING: Stage 9 is taught last, but career awareness is woven throughout the year. Every division role charter (Stage 0) references the career it mirrors. Every WBL reflection (Stage 0, Task 36) builds the evidence portfolio. The industry landscape (Stage 1) establishes the destination. Stage 9 is not when career thinking begins — it is when it becomes explicit and documented.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748" w:val="clear"/>
            <w:tcMar>
              <w:top w:type="dxa" w:w="120"/>
              <w:left w:type="dxa" w:w="160"/>
              <w:bottom w:type="dxa" w:w="120"/>
              <w:right w:type="dxa" w:w="160"/>
            </w:tcMar>
          </w:tcPr>
          <w:p>
            <w:r>
              <w:rPr>
                <w:rFonts w:ascii="Arial" w:cs="Arial" w:eastAsia="Arial" w:hAnsi="Arial"/>
                <w:b/>
                <w:bCs/>
                <w:color w:val="FFFFFF"/>
                <w:sz w:val="24"/>
                <w:szCs w:val="24"/>
              </w:rPr>
              <w:t xml:space="preserve">STAGE 9  ·  CONSUMER → PRODUCER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Career Development &amp; Job Search</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106–113 (113 optional)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102–108 (105 optional)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 — same career readiness goals, different industry depth and management lens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Consumer → Producer — students end the chain as informed consumers of the industry and enter it as emerging producers</w:t>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identify industry occupations, assess personal skills and interests, identify job search resources, create a networking plan, develop a résumé and cover letter, complete a job application, describe the interview process, and optionally participate in a mock or informational interview.</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identify career information sources, identify career opportunities at multiple levels, describe education and training requirements, optionally identify employment barriers, identify professional development opportunities, research a prospective employer, and develop a career plan.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Produce a complete career readiness portfolio — résumé, cover letter, networking plan, and career development plan — grounded in the real WBL experience of this program. Not a hypothetical job search. A documented one.</w:t>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You have just run a promotional campaign for a live esports event, managed a merchandise operation, contributed to a marketing plan submitted to administration, and operated inside a vertically integrated student business for a full school year. A hiring manager at a sports marketing agency asks: 'Tell me about a time you managed multiple priorities under a real deadline.' You have sixty seconds. What do you say?</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Stage 9 lands last because by now students have something real to talk about. Career readiness taught before professional experience produces generic résumés and rehearsed answers. Taught after a year of running a real business — with documented deliverables, measurable results, and named roles — it produces specific, credible, differentiated candidates. The warm-up is the interview answer every student needs to be able to give.</w:t>
      </w:r>
    </w:p>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Career landscape in sports, entertainment, and events: the industry employs people in creative, operational, analytical, sales, legal, technical, and executive roles simultaneously. Students who have worked across multiple division roles have a broader view of this landscape than most entry-level candidates.</w:t>
      </w:r>
    </w:p>
    <w:p>
      <w:pPr>
        <w:pStyle w:val="ListParagraph"/>
        <w:numPr>
          <w:ilvl w:val="0"/>
          <w:numId w:val="2"/>
        </w:numPr>
        <w:spacing w:after="40" w:before="40"/>
      </w:pPr>
      <w:r>
        <w:rPr>
          <w:rFonts w:ascii="Arial" w:cs="Arial" w:eastAsia="Arial" w:hAnsi="Arial"/>
          <w:sz w:val="22"/>
          <w:szCs w:val="22"/>
        </w:rPr>
        <w:t xml:space="preserve">Self-assessment (Task 107 / implicit across 8177): what skills did you develop in your division role? What came naturally? What required effort? What do you want more of? Career planning starts with honest self-assessment — not generic strength lists, but specific documented evidence from real work.</w:t>
      </w:r>
    </w:p>
    <w:p>
      <w:pPr>
        <w:pStyle w:val="ListParagraph"/>
        <w:numPr>
          <w:ilvl w:val="0"/>
          <w:numId w:val="2"/>
        </w:numPr>
        <w:spacing w:after="40" w:before="40"/>
      </w:pPr>
      <w:r>
        <w:rPr>
          <w:rFonts w:ascii="Arial" w:cs="Arial" w:eastAsia="Arial" w:hAnsi="Arial"/>
          <w:sz w:val="22"/>
          <w:szCs w:val="22"/>
        </w:rPr>
        <w:t xml:space="preserve">Job search resources (Task 108): industry-specific job boards (WorkInSports, Teamwork Online, LinkedIn Sports), DECA alumni networks, local sports and entertainment organizations, school-to-work connections, and the professional contacts developed through the sponsorship prospectus and event operations. The networking plan is a career tool, not a one-time exercise.</w:t>
      </w:r>
    </w:p>
    <w:p>
      <w:pPr>
        <w:pStyle w:val="ListParagraph"/>
        <w:numPr>
          <w:ilvl w:val="0"/>
          <w:numId w:val="2"/>
        </w:numPr>
        <w:spacing w:after="40" w:before="40"/>
      </w:pPr>
      <w:r>
        <w:rPr>
          <w:rFonts w:ascii="Arial" w:cs="Arial" w:eastAsia="Arial" w:hAnsi="Arial"/>
          <w:sz w:val="22"/>
          <w:szCs w:val="22"/>
        </w:rPr>
        <w:t xml:space="preserve">Networking in sports and entertainment (Task 109): this industry hires through relationships more than postings. The sponsor contacts developed in Stage 7, the administrators met during the marketing plan presentation, the VHSL contacts through esports participation — all are networking nodes. Students document and cultivate these relationships formally.</w:t>
      </w:r>
    </w:p>
    <w:p>
      <w:pPr>
        <w:pStyle w:val="ListParagraph"/>
        <w:numPr>
          <w:ilvl w:val="0"/>
          <w:numId w:val="2"/>
        </w:numPr>
        <w:spacing w:after="40" w:before="40"/>
      </w:pPr>
      <w:r>
        <w:rPr>
          <w:rFonts w:ascii="Arial" w:cs="Arial" w:eastAsia="Arial" w:hAnsi="Arial"/>
          <w:sz w:val="22"/>
          <w:szCs w:val="22"/>
        </w:rPr>
        <w:t xml:space="preserve">Résumé and cover letter (Task 110): a résumé for a student from this program is not a list of classes. It is a list of roles, deliverables, and results — General Manager of a six-division student conglomerate, designer of a brand identity guide adopted by the program, lead analyst on a market research project generating 30+ responses and three segmentation profiles. The cover letter connects specific work to a specific employer's needs.</w:t>
      </w:r>
    </w:p>
    <w:p>
      <w:pPr>
        <w:pStyle w:val="ListParagraph"/>
        <w:numPr>
          <w:ilvl w:val="0"/>
          <w:numId w:val="2"/>
        </w:numPr>
        <w:spacing w:after="40" w:before="40"/>
      </w:pPr>
      <w:r>
        <w:rPr>
          <w:rFonts w:ascii="Arial" w:cs="Arial" w:eastAsia="Arial" w:hAnsi="Arial"/>
          <w:sz w:val="22"/>
          <w:szCs w:val="22"/>
        </w:rPr>
        <w:t xml:space="preserve">Job application and interview (Tasks 111–112): applications for sports and entertainment roles frequently require portfolio submissions alongside a résumé. The WBL artifacts produced across all nine stages are the portfolio. The interview answer the warm-up practiced is the behavioral competency response every employer in this industry asks for.</w:t>
      </w:r>
    </w:p>
    <w:p>
      <w:pPr>
        <w:pStyle w:val="ListParagraph"/>
        <w:numPr>
          <w:ilvl w:val="0"/>
          <w:numId w:val="2"/>
        </w:numPr>
        <w:spacing w:after="40" w:before="40"/>
      </w:pPr>
      <w:r>
        <w:rPr>
          <w:rFonts w:ascii="Arial" w:cs="Arial" w:eastAsia="Arial" w:hAnsi="Arial"/>
          <w:sz w:val="22"/>
          <w:szCs w:val="22"/>
        </w:rPr>
        <w:t xml:space="preserve">Career planning (8177 Task 108): a career plan is not a fantasy — it is a documented roadmap with specific roles, education requirements, skill gaps, and timeline. Management students produce a plan that connects their specialization role in the conglomerate to a realistic entry-level position and a five-year trajectory.</w:t>
      </w:r>
    </w:p>
    <w:p>
      <w:pPr>
        <w:pStyle w:val="ListParagraph"/>
        <w:numPr>
          <w:ilvl w:val="0"/>
          <w:numId w:val="2"/>
        </w:numPr>
        <w:spacing w:after="40" w:before="40"/>
      </w:pPr>
      <w:r>
        <w:rPr>
          <w:rFonts w:ascii="Arial" w:cs="Arial" w:eastAsia="Arial" w:hAnsi="Arial"/>
          <w:sz w:val="22"/>
          <w:szCs w:val="22"/>
        </w:rPr>
        <w:t xml:space="preserve">Professional development (8177 Task 106): DECA competitive events, industry certifications, college programs, internships, and continuing education are all professional development pathways. Students identify which are most aligned with their career plan and most accessible from their current position.</w:t>
      </w:r>
    </w:p>
    <w:p>
      <w:pPr>
        <w:pStyle w:val="ListParagraph"/>
        <w:numPr>
          <w:ilvl w:val="0"/>
          <w:numId w:val="2"/>
        </w:numPr>
        <w:spacing w:after="40" w:before="40"/>
      </w:pPr>
      <w:r>
        <w:rPr>
          <w:rFonts w:ascii="Arial" w:cs="Arial" w:eastAsia="Arial" w:hAnsi="Arial"/>
          <w:sz w:val="22"/>
          <w:szCs w:val="22"/>
        </w:rPr>
        <w:t xml:space="preserve">Employer research (8177 Task 107): before any interview or application, students research the target employer — their mission, recent news, organizational structure, hiring history, and what they look for in candidates. Demonstrated knowledge of the employer differentiates candidates who otherwise look identical on paper.</w:t>
      </w:r>
    </w:p>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PORTFOLIO EVIDENCE — ARTIFACTS FROM THIS PROGRAM</w:t>
      </w:r>
    </w:p>
    <w:p>
      <w:pPr>
        <w:spacing w:after="60" w:before="60"/>
        <w:jc w:val="left"/>
      </w:pPr>
      <w:r>
        <w:rPr>
          <w:rFonts w:ascii="Arial" w:cs="Arial" w:eastAsia="Arial" w:hAnsi="Arial"/>
          <w:b w:val="false"/>
          <w:bCs w:val="false"/>
          <w:i/>
          <w:iCs/>
          <w:color w:val="555555"/>
          <w:sz w:val="22"/>
          <w:szCs w:val="22"/>
        </w:rPr>
        <w:t xml:space="preserve">Every stage of this program produced a document, a deliverable, or a documented experience that belongs in a professional portfolio. The table below maps each stage's primary artifact to its career relevance.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80"/>
        <w:gridCol w:w="2480"/>
      </w:tblGrid>
      <w:tr>
        <w:tc>
          <w:tcPr>
            <w:tcW w:type="dxa" w:w="12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8"/>
                <w:szCs w:val="18"/>
              </w:rPr>
              <w:t xml:space="preserve">Stage</w:t>
            </w:r>
          </w:p>
        </w:tc>
        <w:tc>
          <w:tcPr>
            <w:tcW w:type="dxa" w:w="32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8"/>
                <w:szCs w:val="18"/>
              </w:rPr>
              <w:t xml:space="preserve">Work product / artifact</w:t>
            </w:r>
          </w:p>
        </w:tc>
        <w:tc>
          <w:tcPr>
            <w:tcW w:type="dxa" w:w="248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8"/>
                <w:szCs w:val="18"/>
              </w:rPr>
              <w:t xml:space="preserve">Division role</w:t>
            </w:r>
          </w:p>
        </w:tc>
        <w:tc>
          <w:tcPr>
            <w:tcW w:type="dxa" w:w="248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8"/>
                <w:szCs w:val="18"/>
              </w:rPr>
              <w:t xml:space="preserve">Career relevance</w:t>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Stage 0</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Personal professional standards statement</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All divisions</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Demonstrates self-awareness and professional identity — answers 'tell me about yourself'</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Stage 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Conglomerate industry map + BMC</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All / Gen. Manager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Shows big-picture thinking and strategic planning capability</w:t>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Stage 2</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Brand Identity Guide or product catalog</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Creative Studio / Mktg Advisor</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Tangible creative or analytical deliverable with real-world application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Stage 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Market research report + segmentation analysis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Mktg Advisor / all 8177</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Demonstrates research methodology and data-driven decision making</w:t>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Stage 4</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Pricing worksheet + budget v1.0</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Store Mgr / Wholesale Mgr</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Shows financial literacy and cost-structure understanding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Stage 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Social Media Policy or Code of Conduct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Media &amp; PR / Gen. Manager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Demonstrates ethical reasoning and policy development</w:t>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Stage 6</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Emergency Preparedness Plan or Platform Strategy</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Events Mgr / Media &amp; PR</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Shows operational planning and risk management capability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Stage 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Promotional campaign brief + results report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Promotions / Mktg Advisor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Live campaign with measurable results — the strongest portfolio artifact</w:t>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Stage 8</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Marketing plan (section or full) + event evaluation</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All / Gen. Manager</w:t>
            </w:r>
          </w:p>
        </w:tc>
        <w:tc>
          <w:tcPr>
            <w:tcW w:type="dxa" w:w="248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Demonstrates synthesis, strategic thinking, and professional communication</w:t>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CAREER PATHWAY MAP — DIVISION ROLE TO INDUSTRY ROLE</w:t>
      </w:r>
    </w:p>
    <w:p>
      <w:pPr>
        <w:spacing w:after="60" w:before="60"/>
        <w:jc w:val="left"/>
      </w:pPr>
      <w:r>
        <w:rPr>
          <w:rFonts w:ascii="Arial" w:cs="Arial" w:eastAsia="Arial" w:hAnsi="Arial"/>
          <w:b w:val="false"/>
          <w:bCs w:val="false"/>
          <w:i/>
          <w:iCs/>
          <w:color w:val="555555"/>
          <w:sz w:val="22"/>
          <w:szCs w:val="22"/>
        </w:rPr>
        <w:t xml:space="preserve">Use this table to identify which industry career cluster aligns with your division experience and rotation history.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Career cluster</w:t>
            </w:r>
          </w:p>
        </w:tc>
        <w:tc>
          <w:tcPr>
            <w:tcW w:type="dxa" w:w="24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Entry-level role</w:t>
            </w:r>
          </w:p>
        </w:tc>
        <w:tc>
          <w:tcPr>
            <w:tcW w:type="dxa" w:w="24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Conglomerate experience that maps</w:t>
            </w:r>
          </w:p>
        </w:tc>
        <w:tc>
          <w:tcPr>
            <w:tcW w:type="dxa" w:w="236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Education path</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Brand &amp; Creative</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Junior graphic designer, social media coordinator</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Creative Studio — brand identity, asset library, campaign graphics</w:t>
            </w:r>
          </w:p>
        </w:tc>
        <w:tc>
          <w:tcPr>
            <w:tcW w:type="dxa" w:w="23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Design school, communications degree, or self-taught portfolio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Marketing &amp; Strategy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Marketing coordinator, campaign analyst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Marketing Advisor — research, product catalog, campaign brief and results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Marketing degree, DECA competitive events, internship</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Sales</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Sales associate, account coordinator</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Sales &amp; Customer Experience — merchandise table, selling process, custom orders</w:t>
            </w:r>
          </w:p>
        </w:tc>
        <w:tc>
          <w:tcPr>
            <w:tcW w:type="dxa" w:w="23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Sales training, DECA, business degree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Event Operations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Event coordinator, production assistant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Events Division — run-of-show, personnel plan, venue logistics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Event management degree, hospitality program, WBL certification</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Esports / League Ops</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Esports coordinator, league operations</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League Manager — charter, scheduling, bracket management, player relations</w:t>
            </w:r>
          </w:p>
        </w:tc>
        <w:tc>
          <w:tcPr>
            <w:tcW w:type="dxa" w:w="23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Gaming industry programs, esports management certificate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Media &amp; PR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Social media manager, PR coordinator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Media &amp; PR — streaming, content calendar, press release, sponsorship prospectus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Communications degree, journalism, DECA</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Business Management</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Operations manager, general manager</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General Manager — org chart, budget, marketing plan, admin reporting</w:t>
            </w:r>
          </w:p>
        </w:tc>
        <w:tc>
          <w:tcPr>
            <w:tcW w:type="dxa" w:w="23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Business administration, MBA track, DECA management events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Supply Chain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Purchasing agent, merchandise coordinator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Wholesale &amp; Sourcing Manager — vendor research, purchase orders, cost analysis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Supply chain degree, logistics certificate</w:t>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divisions — career readiness is the final cross-divisional unit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conduct a reverse audit of their year: every role they held, every deliverable they produced, and every competency they demonstrated. This audit becomes the raw material for the résumé, cover letter, and career plan. Students who held management specializations have deeper documentation of a narrower range. Students who rotated across marketing tracks have broader documentation of multiple functions.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VHSL esports participation is a documented WBL experience. League management is a documented operations role. Streaming coordination is a documented media production role. Every esports-connected function maps to a real industry job title and belongs on a résumé with specific accomplishments — not just 'participated in esports.'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0 — students return to their personal professional standards statement from the first week and assess themselves against it honestly. How have they grown? Where do they still have gaps? The distance between Stage 0 and Stage 9 is the evidence of what the program did.</w:t>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Career portfolio development + networking plan + career plan + mock interview</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Five deliverables: (1) Résumé — experience drawn from division roles and WBL artifacts, formatted professionally. (2) Cover letter — written for a real or realistic job posting in the student's target career cluster. (3) Networking plan — completed template below, minimum five contacts identified and outreach actions documented. (4) Career plan — completed template below, including education path, skill gap analysis, and five-year trajectory. (5) Mock interview or informational interview — Task 113 for 8175 (optional), strongly recommended for all students. Results documented in writing.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8175 rotation students produce the full five-deliverable portfolio. The résumé reflects their rotation history — each rotation track is a distinct role with specific deliverables listed as accomplishments. The cover letter targets a role in their highest-engagement rotation track — the one where they felt most effective and most interested.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Management specialization students produce résumés that emphasize their specialization role as a sustained leadership experience rather than a rotation. The General Manager documents cross-divisional coordination and administrative reporting. The career plan (Task 108) is the 8177 capstone document for this unit — connecting a year of management specialization to a specific post-secondary and career pathway.</w:t>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NETWORKING PLAN — COMPLETE WITH MINIMUM FIVE CONTACTS</w:t>
      </w:r>
    </w:p>
    <w:p>
      <w:pPr>
        <w:spacing w:after="60" w:before="60"/>
        <w:jc w:val="left"/>
      </w:pPr>
      <w:r>
        <w:rPr>
          <w:rFonts w:ascii="Arial" w:cs="Arial" w:eastAsia="Arial" w:hAnsi="Arial"/>
          <w:b w:val="false"/>
          <w:bCs w:val="false"/>
          <w:i/>
          <w:iCs/>
          <w:color w:val="555555"/>
          <w:sz w:val="22"/>
          <w:szCs w:val="22"/>
        </w:rPr>
        <w:t xml:space="preserve">Document every professional contact developed through program activities — sponsors, administrators, VHSL contacts, employer visitors, and informational interview subjects.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Contact name / org</w:t>
            </w:r>
          </w:p>
        </w:tc>
        <w:tc>
          <w:tcPr>
            <w:tcW w:type="dxa" w:w="22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Relationship / how met</w:t>
            </w:r>
          </w:p>
        </w:tc>
        <w:tc>
          <w:tcPr>
            <w:tcW w:type="dxa" w:w="22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Outreach action + date</w:t>
            </w:r>
          </w:p>
        </w:tc>
        <w:tc>
          <w:tcPr>
            <w:tcW w:type="dxa" w:w="296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7"/>
                <w:szCs w:val="17"/>
              </w:rPr>
              <w:t xml:space="preserve">What I asked for / what I learned</w:t>
            </w:r>
          </w:p>
        </w:tc>
      </w:tr>
      <w:tr>
        <w:tc>
          <w:tcPr>
            <w:tcW w:type="dxa" w:w="20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96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r>
      <w:tr>
        <w:tc>
          <w:tcPr>
            <w:tcW w:type="dxa" w:w="20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96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300"/>
              <w:left w:type="dxa" w:w="140"/>
              <w:bottom w:type="dxa" w:w="300"/>
              <w:right w:type="dxa" w:w="140"/>
            </w:tcMar>
          </w:tcPr>
          <w:p>
            <w:r>
              <w:rPr>
                <w:sz w:val="19"/>
                <w:szCs w:val="19"/>
              </w:rPr>
              <w:t xml:space="preserve"/>
            </w:r>
          </w:p>
        </w:tc>
      </w:tr>
      <w:tr>
        <w:tc>
          <w:tcPr>
            <w:tcW w:type="dxa" w:w="20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20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c>
          <w:tcPr>
            <w:tcW w:type="dxa" w:w="2960"/>
            <w:tcBorders>
              <w:top w:val="single" w:color="CCCCCC" w:sz="1"/>
              <w:left w:val="single" w:color="CCCCCC" w:sz="1"/>
              <w:bottom w:val="single" w:color="CCCCCC" w:sz="1"/>
              <w:right w:val="single" w:color="CCCCCC" w:sz="1"/>
            </w:tcBorders>
            <w:shd w:fill="F7FAFC" w:val="clear"/>
            <w:tcMar>
              <w:top w:type="dxa" w:w="300"/>
              <w:left w:type="dxa" w:w="140"/>
              <w:bottom w:type="dxa" w:w="300"/>
              <w:right w:type="dxa" w:w="140"/>
            </w:tcMar>
          </w:tcPr>
          <w:p>
            <w:r>
              <w:rPr>
                <w:sz w:val="19"/>
                <w:szCs w:val="19"/>
              </w:rPr>
              <w:t xml:space="preserve"/>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CAREER DEVELOPMENT PLAN — COMPLETE INDIVIDUALLY</w:t>
      </w:r>
    </w:p>
    <w:p>
      <w:pPr>
        <w:spacing w:after="60" w:before="60"/>
        <w:jc w:val="left"/>
      </w:pPr>
      <w:r>
        <w:rPr>
          <w:rFonts w:ascii="Arial" w:cs="Arial" w:eastAsia="Arial" w:hAnsi="Arial"/>
          <w:b w:val="false"/>
          <w:bCs w:val="false"/>
          <w:i/>
          <w:iCs/>
          <w:color w:val="555555"/>
          <w:sz w:val="22"/>
          <w:szCs w:val="22"/>
        </w:rPr>
        <w:t xml:space="preserve">This document is yours. Be honest about where you are, specific about where you want to go, and realistic about what it will take to get there.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8"/>
                <w:szCs w:val="18"/>
              </w:rPr>
              <w:t xml:space="preserve">Career plan component</w:t>
            </w:r>
          </w:p>
        </w:tc>
        <w:tc>
          <w:tcPr>
            <w:tcW w:type="dxa" w:w="6560"/>
            <w:tcBorders>
              <w:top w:val="single" w:color="CCCCCC" w:sz="1"/>
              <w:left w:val="single" w:color="CCCCCC" w:sz="1"/>
              <w:bottom w:val="single" w:color="CCCCCC" w:sz="1"/>
              <w:right w:val="single" w:color="CCCCCC" w:sz="1"/>
            </w:tcBorders>
            <w:shd w:fill="2D3748" w:val="clear"/>
            <w:tcMar>
              <w:top w:type="dxa" w:w="100"/>
              <w:left w:type="dxa" w:w="140"/>
              <w:bottom w:type="dxa" w:w="100"/>
              <w:right w:type="dxa" w:w="140"/>
            </w:tcMar>
          </w:tcPr>
          <w:p>
            <w:r>
              <w:rPr>
                <w:rFonts w:ascii="Arial" w:cs="Arial" w:eastAsia="Arial" w:hAnsi="Arial"/>
                <w:b/>
                <w:bCs/>
                <w:color w:val="FFFFFF"/>
                <w:sz w:val="18"/>
                <w:szCs w:val="18"/>
              </w:rPr>
              <w:t xml:space="preserve">My response</w:t>
            </w:r>
          </w:p>
        </w:tc>
      </w:tr>
      <w:tr>
        <w:tc>
          <w:tcPr>
            <w:tcW w:type="dxa" w:w="28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19"/>
                <w:szCs w:val="19"/>
              </w:rPr>
              <w:t xml:space="preserve">Target career cluster</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Target entry-level role (1–2 years after graduation)</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19"/>
                <w:szCs w:val="19"/>
              </w:rPr>
              <w:t xml:space="preserve">Target mid-level role (5 years)</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Education / training path</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19"/>
                <w:szCs w:val="19"/>
              </w:rPr>
              <w:t xml:space="preserve">Skills I have from this program</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Skills I still need to develop</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19"/>
                <w:szCs w:val="19"/>
              </w:rPr>
              <w:t xml:space="preserve">Networking contacts identified</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Professional development opportunities to pursue</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19"/>
                <w:szCs w:val="19"/>
              </w:rPr>
              <w:t xml:space="preserve">Portfolio artifacts I will submit with applications</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DECA competitive event aligned to my career path</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19"/>
                <w:szCs w:val="19"/>
              </w:rPr>
              <w:t xml:space="preserve">Barriers to employment I anticipate</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19"/>
                <w:szCs w:val="19"/>
              </w:rPr>
              <w:t xml:space="preserve">My strategy to address each barrier</w:t>
            </w:r>
          </w:p>
        </w:tc>
        <w:tc>
          <w:tcPr>
            <w:tcW w:type="dxa" w:w="6560"/>
            <w:tcBorders>
              <w:top w:val="single" w:color="CCCCCC" w:sz="1"/>
              <w:left w:val="single" w:color="CCCCCC" w:sz="1"/>
              <w:bottom w:val="single" w:color="CCCCCC" w:sz="1"/>
              <w:right w:val="single" w:color="CCCCCC" w:sz="1"/>
            </w:tcBorders>
            <w:tcMar>
              <w:top w:type="dxa" w:w="280"/>
              <w:left w:type="dxa" w:w="140"/>
              <w:bottom w:type="dxa" w:w="280"/>
              <w:right w:type="dxa" w:w="140"/>
            </w:tcMar>
          </w:tcPr>
          <w:p>
            <w:r>
              <w:rPr>
                <w:rFonts w:ascii="Arial" w:cs="Arial" w:eastAsia="Arial" w:hAnsi="Arial"/>
                <w:sz w:val="20"/>
                <w:szCs w:val="20"/>
              </w:rPr>
              <w:t xml:space="preserve"/>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résumé and cover letter drafting, job application completion, employer research, networking plan documentation, career plan development</w:t>
      </w:r>
    </w:p>
    <w:p>
      <w:pPr>
        <w:pStyle w:val="ListParagraph"/>
        <w:numPr>
          <w:ilvl w:val="0"/>
          <w:numId w:val="2"/>
        </w:numPr>
        <w:spacing w:after="40" w:before="40"/>
      </w:pPr>
      <w:r>
        <w:rPr>
          <w:rFonts w:ascii="Arial" w:cs="Arial" w:eastAsia="Arial" w:hAnsi="Arial"/>
          <w:sz w:val="22"/>
          <w:szCs w:val="22"/>
        </w:rPr>
        <w:t xml:space="preserve">Scanner — digitize any physical portfolio artifacts (printed brand guide, event signage photos, hand-drawn sketches) for inclusion in a digital portfolio</w:t>
      </w:r>
    </w:p>
    <w:p>
      <w:pPr>
        <w:pStyle w:val="ListParagraph"/>
        <w:numPr>
          <w:ilvl w:val="0"/>
          <w:numId w:val="2"/>
        </w:numPr>
        <w:spacing w:after="40" w:before="40"/>
      </w:pPr>
      <w:r>
        <w:rPr>
          <w:rFonts w:ascii="Arial" w:cs="Arial" w:eastAsia="Arial" w:hAnsi="Arial"/>
          <w:sz w:val="22"/>
          <w:szCs w:val="22"/>
        </w:rPr>
        <w:t xml:space="preserve">Large format printer — optional: print a portfolio cover page or résumé at full size for in-person interview preparation or program showcase display</w:t>
      </w:r>
    </w:p>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Occupation mapping (Task 106): students identify ten specific job titles in their target career cluster — not generic categories but actual titles from real job postings — and map each to a division role or WBL artifact from this program. Which roles are they already qualified for at entry level based on documented experience?</w:t>
      </w:r>
    </w:p>
    <w:p>
      <w:pPr>
        <w:pStyle w:val="ListParagraph"/>
        <w:numPr>
          <w:ilvl w:val="0"/>
          <w:numId w:val="2"/>
        </w:numPr>
        <w:spacing w:after="40" w:before="40"/>
      </w:pPr>
      <w:r>
        <w:rPr>
          <w:rFonts w:ascii="Arial" w:cs="Arial" w:eastAsia="Arial" w:hAnsi="Arial"/>
          <w:sz w:val="22"/>
          <w:szCs w:val="22"/>
        </w:rPr>
        <w:t xml:space="preserve">Résumé accomplishment statements (Task 110): students transform each WBL deliverable into a résumé accomplishment statement using the PAR format — Problem, Action, Result. Example: 'Designed and executed a three-week promotional campaign for a live esports event, achieving 92% of attendance goal with zero paid media budget.'</w:t>
      </w:r>
    </w:p>
    <w:p>
      <w:pPr>
        <w:pStyle w:val="ListParagraph"/>
        <w:numPr>
          <w:ilvl w:val="0"/>
          <w:numId w:val="2"/>
        </w:numPr>
        <w:spacing w:after="40" w:before="40"/>
      </w:pPr>
      <w:r>
        <w:rPr>
          <w:rFonts w:ascii="Arial" w:cs="Arial" w:eastAsia="Arial" w:hAnsi="Arial"/>
          <w:sz w:val="22"/>
          <w:szCs w:val="22"/>
        </w:rPr>
        <w:t xml:space="preserve">Mock interview preparation (Task 112–113): students prepare answers to the five most common behavioral interview questions in sports and entertainment — using documented WBL evidence for every answer. The mock interview is conducted with a peer, a teacher, or a community professional using a structured rubric.</w:t>
      </w:r>
    </w:p>
    <w:p>
      <w:pPr>
        <w:pStyle w:val="ListParagraph"/>
        <w:numPr>
          <w:ilvl w:val="0"/>
          <w:numId w:val="2"/>
        </w:numPr>
        <w:spacing w:after="40" w:before="40"/>
      </w:pPr>
      <w:r>
        <w:rPr>
          <w:rFonts w:ascii="Arial" w:cs="Arial" w:eastAsia="Arial" w:hAnsi="Arial"/>
          <w:sz w:val="22"/>
          <w:szCs w:val="22"/>
        </w:rPr>
        <w:t xml:space="preserve">Digital portfolio development: students assemble a simple digital portfolio — a Google Site, a PDF packet, or a shared Drive folder — containing their top three WBL artifacts, their résumé, and a one-paragraph professional bio. This portfolio is submitted with the cover letter for the target job posting.</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Career levels in management (Task 103): students map the career ladder in their target management cluster — what is the entry-level role, what is the mid-level role, what is the senior role, and what does the transition between each level require? They identify one person currently in their target mid-level role and research their career path.</w:t>
      </w:r>
    </w:p>
    <w:p>
      <w:pPr>
        <w:pStyle w:val="ListParagraph"/>
        <w:numPr>
          <w:ilvl w:val="0"/>
          <w:numId w:val="2"/>
        </w:numPr>
        <w:spacing w:after="40" w:before="40"/>
      </w:pPr>
      <w:r>
        <w:rPr>
          <w:rFonts w:ascii="Arial" w:cs="Arial" w:eastAsia="Arial" w:hAnsi="Arial"/>
          <w:sz w:val="22"/>
          <w:szCs w:val="22"/>
        </w:rPr>
        <w:t xml:space="preserve">Education and training requirements (Task 104): for the target entry-level role, what credentials are standard — degree, certification, portfolio, or demonstrated experience? Students evaluate their current status against each requirement and identify the gaps they will close in the next two years.</w:t>
      </w:r>
    </w:p>
    <w:p>
      <w:pPr>
        <w:pStyle w:val="ListParagraph"/>
        <w:numPr>
          <w:ilvl w:val="0"/>
          <w:numId w:val="2"/>
        </w:numPr>
        <w:spacing w:after="40" w:before="40"/>
      </w:pPr>
      <w:r>
        <w:rPr>
          <w:rFonts w:ascii="Arial" w:cs="Arial" w:eastAsia="Arial" w:hAnsi="Arial"/>
          <w:sz w:val="22"/>
          <w:szCs w:val="22"/>
        </w:rPr>
        <w:t xml:space="preserve">Employment barriers and strategies (Task 105, optional): students identify one realistic barrier to their target career — geographic, financial, credential-based, or network-based — and develop a specific strategy to address it. This is not pessimism; it is realistic planning that distinguishes prepared candidates from surprised ones.</w:t>
      </w:r>
    </w:p>
    <w:p>
      <w:pPr>
        <w:pStyle w:val="ListParagraph"/>
        <w:numPr>
          <w:ilvl w:val="0"/>
          <w:numId w:val="2"/>
        </w:numPr>
        <w:spacing w:after="40" w:before="40"/>
      </w:pPr>
      <w:r>
        <w:rPr>
          <w:rFonts w:ascii="Arial" w:cs="Arial" w:eastAsia="Arial" w:hAnsi="Arial"/>
          <w:sz w:val="22"/>
          <w:szCs w:val="22"/>
        </w:rPr>
        <w:t xml:space="preserve">Employer research deliverable (Task 107): students research one real employer in their target cluster — an esports organization, a sports marketing agency, a venue management company, or a sports entertainment brand — and produce a one-page employer profile: mission, recent news, organizational structure, open roles, and a paragraph on why this employer specifically aligns with their career plan.</w:t>
      </w:r>
    </w:p>
    <w:p>
      <w:pPr>
        <w:pStyle w:val="ListParagraph"/>
        <w:numPr>
          <w:ilvl w:val="0"/>
          <w:numId w:val="2"/>
        </w:numPr>
        <w:spacing w:after="40" w:before="40"/>
      </w:pPr>
      <w:r>
        <w:rPr>
          <w:rFonts w:ascii="Arial" w:cs="Arial" w:eastAsia="Arial" w:hAnsi="Arial"/>
          <w:sz w:val="22"/>
          <w:szCs w:val="22"/>
        </w:rPr>
        <w:t xml:space="preserve">Professional development pathway (Task 106): students identify three specific professional development actions they will take in the next twelve months — a DECA competitive event registration, a LinkedIn Learning certification, an informational interview with a professional in their target cluster, or a college program visit. Each action has a deadline and a success criterion.</w:t>
      </w:r>
    </w:p>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Portfolio</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curated collection of work samples that demonstrate skills, experience, and professional growth — in this program, every WBL artifact is a potential portfolio piece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Behavioral interview question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 interview question asking for a specific past experience as evidence of a skill — 'Tell me about a time you managed competing priorities' requires a real documented example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PAR statement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résumé accomplishment format: Problem (what was the challenge?), Action (what did you do?), Result (what was the measurable outcome?) — more compelling than task descriptions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Networking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deliberate cultivation of professional relationships — in sports and entertainment, relationships are the primary hiring mechanism. Every sponsor contact, administrator interaction, and VHSL connection is a network node.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Career plan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documented roadmap connecting current skills and experience to a specific career goal — including education requirements, skill gaps, networking targets, and a realistic timeline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Professional development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Deliberate actions taken to grow skills, credentials, and professional standing — DECA events, certifications, informational interviews, and college program visits are all professional development</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Informational interview</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conversation with a professional in a target field conducted to learn about the career path, not to apply for a job — one of the most effective networking tools available to students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Employer research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Systematic investigation of a target employer before an application or interview — mission, culture, recent news, organizational structure, and what they look for in candidates</w:t>
            </w:r>
          </w:p>
        </w:tc>
      </w:tr>
    </w:tbl>
    <w:p>
      <w:pPr>
        <w:spacing w:after="0" w:before="120"/>
      </w:pPr>
      <w:r>
        <w:t xml:space="preserve"/>
      </w:r>
    </w:p>
    <w:p>
      <w:pPr>
        <w:pBdr>
          <w:bottom w:val="single" w:color="2D3748" w:sz="4" w:space="2"/>
        </w:pBdr>
        <w:spacing w:after="60" w:before="200"/>
      </w:pPr>
      <w:r>
        <w:rPr>
          <w:rFonts w:ascii="Arial" w:cs="Arial" w:eastAsia="Arial" w:hAnsi="Arial"/>
          <w:b/>
          <w:bCs/>
          <w:color w:val="2D3748"/>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106</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occupations within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personal skills and interests applicable to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resources for a job search in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Create a networking plan in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110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Develop a résumé and cover letter.</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111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Complete a job application.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112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the job interview process.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113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Participate in a mock interview or an informational interview with a local employer.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888888"/>
                <w:sz w:val="18"/>
                <w:szCs w:val="18"/>
              </w:rPr>
              <w:t xml:space="preserve">Opt.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career and employment-related information sources.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career opportunities at different levels in sports, entertainment, and event management.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104</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education and training needed for a sports, entertainment, and event management career.</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barriers to employment and strategies to overcome them.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888888"/>
                <w:sz w:val="18"/>
                <w:szCs w:val="18"/>
              </w:rPr>
              <w:t xml:space="preserve">Opt.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106</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professional development opportunities in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Collect information about a prospective employer.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Develop a career plan.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2026-06-14T22:18:23.297Z</dcterms:created>
  <dcterms:modified xsi:type="dcterms:W3CDTF">2026-06-14T22:18:23.297Z</dcterms:modified>
</cp:coreProperties>
</file>

<file path=docProps/custom.xml><?xml version="1.0" encoding="utf-8"?>
<Properties xmlns="http://schemas.openxmlformats.org/officeDocument/2006/custom-properties" xmlns:vt="http://schemas.openxmlformats.org/officeDocument/2006/docPropsVTypes"/>
</file>