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b/>
          <w:bCs/>
          <w:sz w:val="36"/>
          <w:szCs w:val="36"/>
        </w:rPr>
        <w:t xml:space="preserve">Termini e Condizioni di Servizio — ApollonIA</w:t>
      </w:r>
    </w:p>
    <w:p>
      <w:pPr>
        <w:pBdr>
          <w:bottom w:val="single" w:color="8B6914" w:sz="6" w:space="4"/>
        </w:pBdr>
        <w:spacing w:after="240"/>
      </w:pPr>
      <w:r>
        <w:rPr>
          <w:i/>
          <w:iCs/>
          <w:color w:val="666666"/>
        </w:rPr>
        <w:t xml:space="preserve">Ultimo aggiornamento: [DATA]</w:t>
      </w:r>
    </w:p>
    <w:p>
      <w:pPr>
        <w:spacing w:after="120"/>
      </w:pPr>
      <w:r>
        <w:t xml:space="preserve">I presenti Termini e Condizioni (“Termini”) disciplinano l’utilizzo del servizio </w:t>
      </w:r>
      <w:r>
        <w:rPr>
          <w:b/>
          <w:bCs/>
        </w:rPr>
        <w:t xml:space="preserve">ApollonIA</w:t>
      </w:r>
      <w:r>
        <w:t xml:space="preserve"> (“Servizio”), una receptionist AI per agenzie e agenti immobiliari, erogato da:</w:t>
      </w:r>
    </w:p>
    <w:p>
      <w:pPr>
        <w:spacing w:after="20"/>
      </w:pPr>
      <w:r>
        <w:rPr>
          <w:b/>
          <w:bCs/>
        </w:rPr>
        <w:t xml:space="preserve">Bionexis Lab</w:t>
      </w:r>
    </w:p>
    <w:p>
      <w:pPr>
        <w:spacing w:after="20"/>
      </w:pPr>
      <w:r>
        <w:t xml:space="preserve">Sede legale: Horná 77, 974 01 Banská Bystrica, Slovacchia</w:t>
      </w:r>
    </w:p>
    <w:p>
      <w:pPr>
        <w:spacing w:after="20"/>
      </w:pPr>
      <w:r>
        <w:t xml:space="preserve">IČO (numero di registrazione): [IČO]</w:t>
      </w:r>
    </w:p>
    <w:p>
      <w:pPr>
        <w:spacing w:after="20"/>
      </w:pPr>
      <w:r>
        <w:t xml:space="preserve">Numero di partita IVA / IČ DPH: [PARTITA IVA]</w:t>
      </w:r>
    </w:p>
    <w:p>
      <w:pPr>
        <w:spacing w:after="120"/>
      </w:pPr>
      <w:r>
        <w:t xml:space="preserve">Email: info@apollon-ia.com</w:t>
      </w:r>
    </w:p>
    <w:p>
      <w:pPr>
        <w:spacing w:after="120"/>
      </w:pPr>
      <w:r>
        <w:rPr>
          <w:i w:val="false"/>
          <w:iCs w:val="false"/>
        </w:rPr>
        <w:t xml:space="preserve">(di seguito “Bionexis Lab”, “noi” o il “Fornitore”).</w:t>
      </w:r>
    </w:p>
    <w:p>
      <w:pPr>
        <w:spacing w:after="120"/>
      </w:pPr>
      <w:r>
        <w:t xml:space="preserve">L’utilizzo del Servizio implica l’accettazione integrale dei presenti Termini. Se non accetti i Termini, non utilizzare il Servizio.</w:t>
      </w:r>
    </w:p>
    <w:p>
      <w:pPr>
        <w:pStyle w:val="Heading1"/>
      </w:pPr>
      <w:r>
        <w:t xml:space="preserve">1. Definizioni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Cliente</w:t>
      </w:r>
      <w:r>
        <w:t xml:space="preserve">: il soggetto (agente immobiliare, agenzia, professionista o impresa) che sottoscrive il Servizio.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Servizio</w:t>
      </w:r>
      <w:r>
        <w:t xml:space="preserve">: la piattaforma ApollonIA, comprensiva dell’assistente vocale AI, della gestione delle chiamate, della qualificazione dei lead, dell’invio dei lead via email e della sincronizzazione con gli annunci.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Chiamante</w:t>
      </w:r>
      <w:r>
        <w:t xml:space="preserve">: il soggetto terzo che contatta telefonicamente il Cliente e le cui chiamate sono gestite dal Servizio.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Lead</w:t>
      </w:r>
      <w:r>
        <w:t xml:space="preserve">: il contatto e le informazioni raccolte dal Servizio nel corso di una chiamata.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Piano</w:t>
      </w:r>
      <w:r>
        <w:t xml:space="preserve">: il livello di abbonamento sottoscritto (Base, Pro, Max o Studio).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Periodo di Fatturazione</w:t>
      </w:r>
      <w:r>
        <w:t xml:space="preserve">: l’intervallo mensile o annuale in base al quale viene addebitato il corrispettivo.</w:t>
      </w:r>
    </w:p>
    <w:p>
      <w:pPr>
        <w:pStyle w:val="Heading1"/>
      </w:pPr>
      <w:r>
        <w:t xml:space="preserve">2. Oggetto e descrizione del Servizio</w:t>
      </w:r>
    </w:p>
    <w:p>
      <w:pPr>
        <w:spacing w:after="120"/>
      </w:pPr>
      <w:r>
        <w:t xml:space="preserve">2.1 ApollonIA è un servizio di assistente vocale basato su intelligenza artificiale che, per conto del Cliente: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risponde alle chiamate telefoniche in entrata, 24 ore su 24, 7 giorni su 7;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conduce una conversazione con il Chiamante e ne qualifica l’interesse;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raccoglie i dati di contatto e le informazioni rilevanti (Lead);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invia i Lead al Cliente via email in tempo reale;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sincronizza automaticamente gli annunci immobiliari del Cliente da fonti esterne (es. immobiliare.it);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gestisce automaticamente più lingue.</w:t>
      </w:r>
    </w:p>
    <w:p>
      <w:pPr>
        <w:spacing w:after="120"/>
      </w:pPr>
      <w:r>
        <w:t xml:space="preserve">2.2 Il Servizio si collega al numero di telefono esistente del Cliente tramite trasferimento di chiamata. Il Cliente è responsabile della corretta configurazione dell’inoltro presso il proprio operatore telefonico.</w:t>
      </w:r>
    </w:p>
    <w:p>
      <w:pPr>
        <w:spacing w:after="120"/>
      </w:pPr>
      <w:r>
        <w:t xml:space="preserve">2.3 Il Servizio è fornito “così com’è”. Pur impegnandoci a garantire elevata affidabilità e continuità, non garantiamo che il Servizio sia ininterrotto, privo di errori o adatto a ogni specifica esigenza del Cliente. L’assistente AI può, in casi limitati, fornire risposte imprecise o incomplete; il Cliente riconosce la natura automatizzata del Servizio.</w:t>
      </w:r>
    </w:p>
    <w:p>
      <w:pPr>
        <w:spacing w:after="120"/>
      </w:pPr>
      <w:r>
        <w:t xml:space="preserve">2.4 Ci riserviamo il diritto di modificare, migliorare o aggiornare le funzionalità del Servizio nel tempo, senza che ciò comporti una riduzione sostanziale delle prestazioni essenziali del Piano sottoscritto.</w:t>
      </w:r>
    </w:p>
    <w:p>
      <w:pPr>
        <w:pStyle w:val="Heading1"/>
      </w:pPr>
      <w:r>
        <w:t xml:space="preserve">3. Registrazione e attivazione</w:t>
      </w:r>
    </w:p>
    <w:p>
      <w:pPr>
        <w:spacing w:after="120"/>
      </w:pPr>
      <w:r>
        <w:t xml:space="preserve">3.1 Per attivare il Servizio il Cliente fornisce informazioni veritiere, complete e aggiornate (tra cui denominazione dello studio, URL degli annunci, numero di telefono, email, Piano e modalità di gestione delle chiamate).</w:t>
      </w:r>
    </w:p>
    <w:p>
      <w:pPr>
        <w:spacing w:after="120"/>
      </w:pPr>
      <w:r>
        <w:t xml:space="preserve">3.2 Il Cliente è responsabile della riservatezza delle proprie credenziali di accesso e di ogni attività svolta tramite il proprio account.</w:t>
      </w:r>
    </w:p>
    <w:p>
      <w:pPr>
        <w:spacing w:after="120"/>
      </w:pPr>
      <w:r>
        <w:t xml:space="preserve">3.3 Il Cliente dichiara di essere un professionista o un’impresa e di sottoscrivere il Servizio nell’ambito della propria attività economica (rapporto B2B).</w:t>
      </w:r>
    </w:p>
    <w:p>
      <w:pPr>
        <w:pStyle w:val="Heading1"/>
      </w:pPr>
      <w:r>
        <w:t xml:space="preserve">4. Piani, minuti e limiti di utilizzo</w:t>
      </w:r>
    </w:p>
    <w:p>
      <w:pPr>
        <w:spacing w:after="120"/>
      </w:pPr>
      <w:r>
        <w:t xml:space="preserve">4.1 I Piani disponibili e i relativi limiti di minuti di chiamata mensili sono indicati sul sito al momento della sottoscrizione (a titolo indicativo: Base 500 minuti/mese, Pro 1.000 minuti/mese, Max 2.000 minuti/mese; Studio con minuti personalizzati).</w:t>
      </w:r>
    </w:p>
    <w:p>
      <w:pPr>
        <w:spacing w:after="120"/>
      </w:pPr>
      <w:r>
        <w:t xml:space="preserve">4.2 I minuti si riferiscono al singolo Periodo di Fatturazione e non sono cumulabili con i periodi successivi, salvo diversa indicazione.</w:t>
      </w:r>
    </w:p>
    <w:p>
      <w:pPr>
        <w:spacing w:after="120"/>
      </w:pPr>
      <w:r>
        <w:rPr>
          <w:b/>
          <w:bCs/>
        </w:rPr>
        <w:t xml:space="preserve">4.3 Superamento del limite. </w:t>
      </w:r>
      <w:r>
        <w:t xml:space="preserve">Al superamento del limite di minuti del Piano, le chiamate eccedenti non vengono gestite dal Servizio ma continuano a essere indirizzate al numero di telefono del Cliente, che le riceverà direttamente come avviene normalmente. Il Cliente può in qualsiasi momento passare a un Piano superiore.</w:t>
      </w:r>
    </w:p>
    <w:p>
      <w:pPr>
        <w:spacing w:after="120"/>
      </w:pPr>
      <w:r>
        <w:t xml:space="preserve">4.4 I prezzi e i contenuti dei Piani indicati sul sito possono essere aggiornati. Eventuali variazioni di prezzo non si applicano al Periodo di Fatturazione in corso già pagato.</w:t>
      </w:r>
    </w:p>
    <w:p>
      <w:pPr>
        <w:pStyle w:val="Heading1"/>
      </w:pPr>
      <w:r>
        <w:t xml:space="preserve">5. Corrispettivi, fatturazione e pagamenti</w:t>
      </w:r>
    </w:p>
    <w:p>
      <w:pPr>
        <w:spacing w:after="120"/>
      </w:pPr>
      <w:r>
        <w:t xml:space="preserve">5.1 I corrispettivi sono indicati sul sito e si intendono al netto di eventuali imposte applicabili, salvo diversa indicazione.</w:t>
      </w:r>
    </w:p>
    <w:p>
      <w:pPr>
        <w:spacing w:after="120"/>
      </w:pPr>
      <w:r>
        <w:t xml:space="preserve">5.2 La fatturazione è </w:t>
      </w:r>
      <w:r>
        <w:rPr>
          <w:b/>
          <w:bCs/>
        </w:rPr>
        <w:t xml:space="preserve">mensile</w:t>
      </w:r>
      <w:r>
        <w:t xml:space="preserve"> o </w:t>
      </w:r>
      <w:r>
        <w:rPr>
          <w:b/>
          <w:bCs/>
        </w:rPr>
        <w:t xml:space="preserve">annuale</w:t>
      </w:r>
      <w:r>
        <w:t xml:space="preserve">, in base alla scelta del Cliente. Con la fatturazione annuale si applica lo sconto indicato sul sito (attualmente –15%).</w:t>
      </w:r>
    </w:p>
    <w:p>
      <w:pPr>
        <w:spacing w:after="120"/>
      </w:pPr>
      <w:r>
        <w:t xml:space="preserve">5.3 I pagamenti sono elaborati tramite il fornitore terzo </w:t>
      </w:r>
      <w:r>
        <w:rPr>
          <w:b/>
          <w:bCs/>
        </w:rPr>
        <w:t xml:space="preserve">Stripe</w:t>
      </w:r>
      <w:r>
        <w:t xml:space="preserve">. Sottoscrivendo il Servizio, il Cliente accetta i termini e l’informativa privacy di Stripe. Non conserviamo direttamente i dati completi delle carte di pagamento.</w:t>
      </w:r>
    </w:p>
    <w:p>
      <w:pPr>
        <w:spacing w:after="120"/>
      </w:pPr>
      <w:r>
        <w:t xml:space="preserve">5.4 L’abbonamento si </w:t>
      </w:r>
      <w:r>
        <w:rPr>
          <w:b/>
          <w:bCs/>
        </w:rPr>
        <w:t xml:space="preserve">rinnova automaticamente</w:t>
      </w:r>
      <w:r>
        <w:t xml:space="preserve"> al termine di ciascun Periodo di Fatturazione, salvo disdetta secondo l’art. 6.</w:t>
      </w:r>
    </w:p>
    <w:p>
      <w:pPr>
        <w:spacing w:after="120"/>
      </w:pPr>
      <w:r>
        <w:rPr>
          <w:b/>
          <w:bCs/>
        </w:rPr>
        <w:t xml:space="preserve">5.5 IVA e adempimenti fiscali. </w:t>
      </w:r>
      <w:r>
        <w:t xml:space="preserve">Trattandosi di prestazione transfrontaliera B2B all’interno dell’UE, l’IVA è gestita secondo il regime applicabile (es. inversione contabile / reverse charge ove ricorrano i presupposti). Il Cliente è tenuto a fornire un numero di partita IVA valido ove richiesto.</w:t>
      </w:r>
    </w:p>
    <w:p>
      <w:pPr>
        <w:spacing w:after="120"/>
      </w:pPr>
      <w:r>
        <w:t xml:space="preserve">5.6 In caso di mancato pagamento, ci riserviamo il diritto di sospendere o interrompere il Servizio previa comunicazione al Cliente.</w:t>
      </w:r>
    </w:p>
    <w:p>
      <w:pPr>
        <w:pStyle w:val="Heading1"/>
      </w:pPr>
      <w:r>
        <w:t xml:space="preserve">6. Durata, rinnovo e disdetta</w:t>
      </w:r>
    </w:p>
    <w:p>
      <w:pPr>
        <w:spacing w:after="120"/>
      </w:pPr>
      <w:r>
        <w:t xml:space="preserve">6.1 Il Servizio è senza vincoli di durata minima. Il Cliente può disdire in qualsiasi momento.</w:t>
      </w:r>
    </w:p>
    <w:p>
      <w:pPr>
        <w:spacing w:after="120"/>
      </w:pPr>
      <w:r>
        <w:t xml:space="preserve">6.2 La disdetta ha effetto al termine del Periodo di Fatturazione in corso: il Servizio resta attivo fino a tale termine e non viene rinnovato per il periodo successivo.</w:t>
      </w:r>
    </w:p>
    <w:p>
      <w:pPr>
        <w:spacing w:after="120"/>
      </w:pPr>
      <w:r>
        <w:t xml:space="preserve">6.3 Salvo quanto previsto da norme imperative applicabili, i corrispettivi già versati per il Periodo di Fatturazione in corso non sono rimborsabili.</w:t>
      </w:r>
    </w:p>
    <w:p>
      <w:pPr>
        <w:spacing w:after="120"/>
      </w:pPr>
      <w:r>
        <w:t xml:space="preserve">6.4 Ci riserviamo il diritto di sospendere o risolvere il rapporto in caso di violazione dei presenti Termini da parte del Cliente.</w:t>
      </w:r>
    </w:p>
    <w:p>
      <w:pPr>
        <w:pStyle w:val="Heading1"/>
      </w:pPr>
      <w:r>
        <w:t xml:space="preserve">7. Uso accettabile</w:t>
      </w:r>
    </w:p>
    <w:p>
      <w:pPr>
        <w:spacing w:after="120"/>
      </w:pPr>
      <w:r>
        <w:t xml:space="preserve">7.1 Il Cliente si impegna a utilizzare il Servizio in conformità alla legge e a non: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utilizzare il Servizio per finalità illecite, fraudolente o ingannevoli;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effettuare chiamate o comunicazioni non sollecitate in violazione della normativa applicabile;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tentare di compromettere, sovraccaricare o aggirare le misure di sicurezza del Servizio;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rivendere, sublicenziare o mettere a disposizione di terzi il Servizio senza autorizzazione scritta;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caricare o trasmettere contenuti illeciti, diffamatori o lesivi di diritti altrui.</w:t>
      </w:r>
    </w:p>
    <w:p>
      <w:pPr>
        <w:spacing w:after="120"/>
      </w:pPr>
      <w:r>
        <w:t xml:space="preserve">7.2 La violazione dell’art. 7.1 può comportare la sospensione immediata del Servizio.</w:t>
      </w:r>
    </w:p>
    <w:p>
      <w:pPr>
        <w:pStyle w:val="Heading1"/>
      </w:pPr>
      <w:r>
        <w:t xml:space="preserve">8. Protezione dei dati personali (GDPR)</w:t>
      </w:r>
    </w:p>
    <w:p>
      <w:pPr>
        <w:spacing w:after="120"/>
      </w:pPr>
      <w:r>
        <w:t xml:space="preserve">8.1 Nell’erogazione del Servizio, in relazione ai dati personali dei Chiamanti, il Cliente agisce in qualità di </w:t>
      </w:r>
      <w:r>
        <w:rPr>
          <w:b/>
          <w:bCs/>
        </w:rPr>
        <w:t xml:space="preserve">Titolare del trattamento</w:t>
      </w:r>
      <w:r>
        <w:t xml:space="preserve"> e Bionexis Lab in qualità di </w:t>
      </w:r>
      <w:r>
        <w:rPr>
          <w:b/>
          <w:bCs/>
        </w:rPr>
        <w:t xml:space="preserve">Responsabile del trattamento</w:t>
      </w:r>
      <w:r>
        <w:t xml:space="preserve"> ai sensi del Regolamento (UE) 2016/679 (“GDPR”).</w:t>
      </w:r>
    </w:p>
    <w:p>
      <w:pPr>
        <w:spacing w:after="120"/>
      </w:pPr>
      <w:r>
        <w:t xml:space="preserve">8.2 Il Cliente è responsabile di garantire una base giuridica valida per il trattamento dei dati dei Chiamanti e di fornire loro le informative dovute, incluso, ove applicabile, l’avviso che la chiamata è gestita da un sistema automatizzato.</w:t>
      </w:r>
    </w:p>
    <w:p>
      <w:pPr>
        <w:spacing w:after="120"/>
      </w:pPr>
      <w:r>
        <w:t xml:space="preserve">8.3 Bionexis Lab tratta i dati dei Chiamanti esclusivamente per erogare il Servizio e secondo le istruzioni del Cliente, adottando misure tecniche e organizzative adeguate.</w:t>
      </w:r>
    </w:p>
    <w:p>
      <w:pPr>
        <w:spacing w:after="120"/>
      </w:pPr>
      <w:r>
        <w:t xml:space="preserve">8.4 Il trattamento dei dati può comportare l’utilizzo di fornitori terzi (es. servizi di telefonia, elaborazione vocale AI, hosting). Tali fornitori operano come sub-responsabili e sono tenuti a standard di protezione adeguati.</w:t>
      </w:r>
    </w:p>
    <w:p>
      <w:pPr>
        <w:spacing w:after="120"/>
      </w:pPr>
      <w:r>
        <w:t xml:space="preserve">8.5 Le modalità di trattamento dei dati personali del Cliente in quanto utente del sito e del Servizio sono descritte nell’Informativa Privacy, disponibile separatamente.</w:t>
      </w:r>
    </w:p>
    <w:p>
      <w:pPr>
        <w:pStyle w:val="Heading1"/>
      </w:pPr>
      <w:r>
        <w:t xml:space="preserve">9. Proprietà intellettuale</w:t>
      </w:r>
    </w:p>
    <w:p>
      <w:pPr>
        <w:spacing w:after="120"/>
      </w:pPr>
      <w:r>
        <w:t xml:space="preserve">9.1 Il Servizio, il software, i marchi, i loghi e i contenuti di ApollonIA sono di proprietà di Bionexis Lab o dei rispettivi titolari e sono protetti dalle leggi applicabili.</w:t>
      </w:r>
    </w:p>
    <w:p>
      <w:pPr>
        <w:spacing w:after="120"/>
      </w:pPr>
      <w:r>
        <w:t xml:space="preserve">9.2 La sottoscrizione del Servizio concede al Cliente una licenza limitata, non esclusiva, non trasferibile e revocabile a utilizzare il Servizio per la durata dell’abbonamento.</w:t>
      </w:r>
    </w:p>
    <w:p>
      <w:pPr>
        <w:spacing w:after="120"/>
      </w:pPr>
      <w:r>
        <w:t xml:space="preserve">9.3 I dati e i contenuti caricati o generati dal Cliente restano di proprietà del Cliente.</w:t>
      </w:r>
    </w:p>
    <w:p>
      <w:pPr>
        <w:pStyle w:val="Heading1"/>
      </w:pPr>
      <w:r>
        <w:t xml:space="preserve">10. Limitazione di responsabilità</w:t>
      </w:r>
    </w:p>
    <w:p>
      <w:pPr>
        <w:spacing w:after="120"/>
      </w:pPr>
      <w:r>
        <w:t xml:space="preserve">10.1 Nei limiti consentiti dalla legge, Bionexis Lab non è responsabile per danni indiretti, incidentali o consequenziali, inclusi perdita di profitti, di clienti, di lead o di opportunità commerciali, derivanti dall’utilizzo o dall’impossibilità di utilizzare il Servizio.</w:t>
      </w:r>
    </w:p>
    <w:p>
      <w:pPr>
        <w:spacing w:after="120"/>
      </w:pPr>
      <w:r>
        <w:t xml:space="preserve">10.2 In particolare, non siamo responsabili per: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mancata gestione di chiamate dovuta a errata configurazione dell’inoltro, problemi dell’operatore telefonico del Cliente o cause non imputabili a noi;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imprecisioni o errori nelle risposte generate dall’assistente AI;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interruzioni dovute a fornitori terzi (telefonia, elaborazione AI, hosting, pagamenti) o a cause di forza maggiore.</w:t>
      </w:r>
    </w:p>
    <w:p>
      <w:pPr>
        <w:spacing w:after="120"/>
      </w:pPr>
      <w:r>
        <w:t xml:space="preserve">10.3 In ogni caso, la responsabilità complessiva di Bionexis Lab verso il Cliente è limitata all’importo effettivamente corrisposto dal Cliente per il Servizio nei dodici (12) mesi precedenti l’evento da cui deriva la responsabilità.</w:t>
      </w:r>
    </w:p>
    <w:p>
      <w:pPr>
        <w:spacing w:after="120"/>
      </w:pPr>
      <w:r>
        <w:t xml:space="preserve">10.4 Il Cliente riconosce che il Servizio è uno strumento di supporto e non sostituisce la valutazione professionale dell’agente o dell’agenzia.</w:t>
      </w:r>
    </w:p>
    <w:p>
      <w:pPr>
        <w:pStyle w:val="Heading1"/>
      </w:pPr>
      <w:r>
        <w:t xml:space="preserve">11. Manleva</w:t>
      </w:r>
    </w:p>
    <w:p>
      <w:pPr>
        <w:spacing w:after="120"/>
      </w:pPr>
      <w:r>
        <w:t xml:space="preserve">Il Cliente si impegna a tenere indenne Bionexis Lab da pretese, danni o costi (incluse spese legali ragionevoli) derivanti da un utilizzo del Servizio in violazione dei presenti Termini o della legge applicabile, ivi compreso il trattamento illecito dei dati dei Chiamanti.</w:t>
      </w:r>
    </w:p>
    <w:p>
      <w:pPr>
        <w:pStyle w:val="Heading1"/>
      </w:pPr>
      <w:r>
        <w:t xml:space="preserve">12. Modifiche ai Termini</w:t>
      </w:r>
    </w:p>
    <w:p>
      <w:pPr>
        <w:spacing w:after="120"/>
      </w:pPr>
      <w:r>
        <w:t xml:space="preserve">12.1 Ci riserviamo il diritto di modificare i presenti Termini. Le modifiche saranno comunicate tramite il sito o via email con ragionevole preavviso.</w:t>
      </w:r>
    </w:p>
    <w:p>
      <w:pPr>
        <w:spacing w:after="120"/>
      </w:pPr>
      <w:r>
        <w:t xml:space="preserve">12.2 La prosecuzione dell’utilizzo del Servizio dopo l’entrata in vigore delle modifiche costituisce accettazione delle stesse. In caso di mancata accettazione, il Cliente può disdire il Servizio secondo l’art. 6.</w:t>
      </w:r>
    </w:p>
    <w:p>
      <w:pPr>
        <w:pStyle w:val="Heading1"/>
      </w:pPr>
      <w:r>
        <w:t xml:space="preserve">13. Legge applicabile e foro competente</w:t>
      </w:r>
    </w:p>
    <w:p>
      <w:pPr>
        <w:spacing w:after="120"/>
      </w:pPr>
      <w:r>
        <w:t xml:space="preserve">13.1 I presenti Termini sono regolati dalla </w:t>
      </w:r>
      <w:r>
        <w:rPr>
          <w:b/>
          <w:bCs/>
        </w:rPr>
        <w:t xml:space="preserve">legge italiana</w:t>
      </w:r>
      <w:r>
        <w:t xml:space="preserve">.</w:t>
      </w:r>
    </w:p>
    <w:p>
      <w:pPr>
        <w:spacing w:after="120"/>
      </w:pPr>
      <w:r>
        <w:t xml:space="preserve">13.2 Per ogni controversia derivante dai presenti Termini o connessa al Servizio sarà competente il foro italiano applicabile secondo le norme vigenti. Restano salve le disposizioni inderogabili a tutela del Cliente eventualmente applicabili.</w:t>
      </w:r>
    </w:p>
    <w:p>
      <w:pPr>
        <w:pStyle w:val="Heading1"/>
      </w:pPr>
      <w:r>
        <w:t xml:space="preserve">14. Disposizioni varie</w:t>
      </w:r>
    </w:p>
    <w:p>
      <w:pPr>
        <w:spacing w:after="120"/>
      </w:pPr>
      <w:r>
        <w:t xml:space="preserve">14.1 L’eventuale invalidità di una singola clausola non pregiudica la validità delle restanti.</w:t>
      </w:r>
    </w:p>
    <w:p>
      <w:pPr>
        <w:spacing w:after="120"/>
      </w:pPr>
      <w:r>
        <w:t xml:space="preserve">14.2 Il mancato esercizio di un diritto non costituisce rinuncia allo stesso.</w:t>
      </w:r>
    </w:p>
    <w:p>
      <w:pPr>
        <w:spacing w:after="120"/>
      </w:pPr>
      <w:r>
        <w:t xml:space="preserve">14.3 Il Cliente non può cedere i propri diritti e obblighi senza il consenso scritto di Bionexis Lab. Bionexis Lab può cedere il contratto a società collegate o in caso di operazioni straordinarie, dandone comunicazione.</w:t>
      </w:r>
    </w:p>
    <w:p>
      <w:pPr>
        <w:spacing w:after="120"/>
      </w:pPr>
      <w:r>
        <w:t xml:space="preserve">14.4 I presenti Termini costituiscono l’intero accordo tra le parti relativamente al Servizio.</w:t>
      </w:r>
    </w:p>
    <w:p>
      <w:pPr>
        <w:pStyle w:val="Heading1"/>
      </w:pPr>
      <w:r>
        <w:t xml:space="preserve">15. Contatti</w:t>
      </w:r>
    </w:p>
    <w:p>
      <w:pPr>
        <w:spacing w:after="120"/>
      </w:pPr>
      <w:r>
        <w:t xml:space="preserve">Per qualsiasi domanda relativa ai presenti Termini:</w:t>
      </w:r>
    </w:p>
    <w:p>
      <w:pPr>
        <w:spacing w:after="20"/>
      </w:pPr>
      <w:r>
        <w:rPr>
          <w:b/>
          <w:bCs/>
        </w:rPr>
        <w:t xml:space="preserve">Bionexis Lab</w:t>
      </w:r>
    </w:p>
    <w:p>
      <w:pPr>
        <w:spacing w:after="20"/>
      </w:pPr>
      <w:r>
        <w:t xml:space="preserve">Horná 77, 974 01 Banská Bystrica, Slovacchia</w:t>
      </w:r>
    </w:p>
    <w:p>
      <w:pPr>
        <w:spacing w:after="120"/>
      </w:pPr>
      <w:r>
        <w:t xml:space="preserve">Email: info@apollon-ia.com</w:t>
      </w:r>
    </w:p>
    <w:p>
      <w:pPr>
        <w:pBdr>
          <w:top w:val="single" w:color="CCCCCC" w:sz="6" w:space="4"/>
        </w:pBdr>
        <w:spacing w:before="240"/>
      </w:pPr>
      <w:r>
        <w:rPr>
          <w:i/>
          <w:iCs/>
          <w:color w:val="666666"/>
          <w:sz w:val="18"/>
          <w:szCs w:val="18"/>
        </w:rPr>
        <w:t xml:space="preserve">Nota: questo documento è un modello e non costituisce consulenza legale. Si raccomanda la revisione da parte di un legale o consulente qualificato prima della pubblicazione, con particolare attenzione alle sezioni IVA, responsabilità e protezione dei dati. Compilare i campi tra parentesi quadre: [DATA], [IČO], [PARTITA IVA].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8B691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2026-06-15T00:43:26.920Z</dcterms:created>
  <dcterms:modified xsi:type="dcterms:W3CDTF">2026-06-15T00:43:26.920Z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