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library-name-staff-ai-usage-policy"/>
    <w:p>
      <w:pPr>
        <w:pStyle w:val="Heading1"/>
      </w:pPr>
      <w:r>
        <w:t xml:space="preserve">[Library Name] Staff AI Usage Policy</w:t>
      </w:r>
    </w:p>
    <w:p>
      <w:pPr>
        <w:pStyle w:val="FirstParagraph"/>
      </w:pPr>
      <w:r>
        <w:rPr>
          <w:iCs/>
          <w:i/>
        </w:rPr>
        <w:t xml:space="preserve">Template: replace all [bracketed] items, then have your director, board, and legal counsel review before adopting.</w:t>
      </w:r>
    </w:p>
    <w:bookmarkStart w:id="20" w:name="purpose-scope-and-definitions"/>
    <w:p>
      <w:pPr>
        <w:pStyle w:val="Heading2"/>
      </w:pPr>
      <w:r>
        <w:t xml:space="preserve">1. Purpose, Scope, and Definitions</w:t>
      </w:r>
    </w:p>
    <w:p>
      <w:pPr>
        <w:pStyle w:val="FirstParagraph"/>
      </w:pPr>
      <w:r>
        <w:t xml:space="preserve">[Library Name] recognizes that artificial intelligence (AI) tools can expand access to knowledge and improve staff efficiency, while also creating risks to privacy, security, accuracy, and equity. This policy sets expectations for the secure, responsible, ethical, and effective use of AI tools by staff.</w:t>
      </w:r>
    </w:p>
    <w:p>
      <w:pPr>
        <w:pStyle w:val="BodyText"/>
      </w:pPr>
      <w:r>
        <w:rPr>
          <w:bCs/>
          <w:b/>
        </w:rPr>
        <w:t xml:space="preserve">Scope.</w:t>
      </w:r>
      <w:r>
        <w:t xml:space="preserve"> </w:t>
      </w:r>
      <w:r>
        <w:t xml:space="preserve">This policy applies to all [Library Name] staff, including full-time, part-time, temporary, and volunteer personnel, in all library functions, at all locations and in remote work. It does not govern patron use of AI, which falls under the library’s technology and appropriate use policies.</w:t>
      </w:r>
    </w:p>
    <w:p>
      <w:pPr>
        <w:pStyle w:val="BodyText"/>
      </w:pPr>
      <w:r>
        <w:rPr>
          <w:bCs/>
          <w:b/>
        </w:rPr>
        <w:t xml:space="preserve">Definitions</w:t>
      </w:r>
    </w:p>
    <w:p>
      <w:pPr>
        <w:numPr>
          <w:ilvl w:val="0"/>
          <w:numId w:val="1001"/>
        </w:numPr>
        <w:pStyle w:val="Compact"/>
      </w:pPr>
      <w:r>
        <w:rPr>
          <w:bCs/>
          <w:b/>
        </w:rPr>
        <w:t xml:space="preserve">Artificial Intelligence (AI):</w:t>
      </w:r>
      <w:r>
        <w:t xml:space="preserve"> </w:t>
      </w:r>
      <w:r>
        <w:t xml:space="preserve">Computer systems designed to perform tasks that typically require human intelligence.</w:t>
      </w:r>
    </w:p>
    <w:p>
      <w:pPr>
        <w:numPr>
          <w:ilvl w:val="0"/>
          <w:numId w:val="1001"/>
        </w:numPr>
        <w:pStyle w:val="Compact"/>
      </w:pPr>
      <w:r>
        <w:rPr>
          <w:bCs/>
          <w:b/>
        </w:rPr>
        <w:t xml:space="preserve">Generative AI:</w:t>
      </w:r>
      <w:r>
        <w:t xml:space="preserve"> </w:t>
      </w:r>
      <w:r>
        <w:t xml:space="preserve">AI that creates new content (text, images, audio, code) from user prompts.</w:t>
      </w:r>
    </w:p>
    <w:p>
      <w:pPr>
        <w:numPr>
          <w:ilvl w:val="0"/>
          <w:numId w:val="1001"/>
        </w:numPr>
        <w:pStyle w:val="Compact"/>
      </w:pPr>
      <w:r>
        <w:rPr>
          <w:bCs/>
          <w:b/>
        </w:rPr>
        <w:t xml:space="preserve">Public AI:</w:t>
      </w:r>
      <w:r>
        <w:t xml:space="preserve"> </w:t>
      </w:r>
      <w:r>
        <w:t xml:space="preserve">Open platforms where inputs may be used to train the model (for example, free consumer chatbots and image generators). Assume anything entered may become part of a public dataset.</w:t>
      </w:r>
    </w:p>
    <w:p>
      <w:pPr>
        <w:numPr>
          <w:ilvl w:val="0"/>
          <w:numId w:val="1001"/>
        </w:numPr>
        <w:pStyle w:val="Compact"/>
      </w:pPr>
      <w:r>
        <w:rPr>
          <w:bCs/>
          <w:b/>
        </w:rPr>
        <w:t xml:space="preserve">Private AI:</w:t>
      </w:r>
      <w:r>
        <w:t xml:space="preserve"> </w:t>
      </w:r>
      <w:r>
        <w:t xml:space="preserve">Systems in a closed environment where inputs are restricted and not used for external model training.</w:t>
      </w:r>
    </w:p>
    <w:p>
      <w:pPr>
        <w:numPr>
          <w:ilvl w:val="0"/>
          <w:numId w:val="1001"/>
        </w:numPr>
        <w:pStyle w:val="Compact"/>
      </w:pPr>
      <w:r>
        <w:rPr>
          <w:bCs/>
          <w:b/>
        </w:rPr>
        <w:t xml:space="preserve">Hallucination:</w:t>
      </w:r>
      <w:r>
        <w:t xml:space="preserve"> </w:t>
      </w:r>
      <w:r>
        <w:t xml:space="preserve">An AI tool’s tendency to present fabricated or inaccurate information with confidence.</w:t>
      </w:r>
    </w:p>
    <w:p>
      <w:pPr>
        <w:numPr>
          <w:ilvl w:val="0"/>
          <w:numId w:val="1001"/>
        </w:numPr>
        <w:pStyle w:val="Compact"/>
      </w:pPr>
      <w:r>
        <w:rPr>
          <w:bCs/>
          <w:b/>
        </w:rPr>
        <w:t xml:space="preserve">Approved Tool:</w:t>
      </w:r>
      <w:r>
        <w:t xml:space="preserve"> </w:t>
      </w:r>
      <w:r>
        <w:t xml:space="preserve">An AI tool reviewed and listed by [IT department / designated role] for staff use.</w:t>
      </w:r>
    </w:p>
    <w:bookmarkEnd w:id="20"/>
    <w:bookmarkStart w:id="21" w:name="X845510486185e006fc72ddbd607fc708ac99f12"/>
    <w:p>
      <w:pPr>
        <w:pStyle w:val="Heading2"/>
      </w:pPr>
      <w:r>
        <w:t xml:space="preserve">2. Approved Tools, Data Security, and Confidentiality</w:t>
      </w:r>
    </w:p>
    <w:p>
      <w:pPr>
        <w:pStyle w:val="FirstParagraph"/>
      </w:pPr>
      <w:r>
        <w:t xml:space="preserve">Patron privacy is a foundational library value. AI tools may use data in ways that are not obvious to the user, so these rules apply to all AI use for library work.</w:t>
      </w:r>
    </w:p>
    <w:p>
      <w:pPr>
        <w:pStyle w:val="BodyText"/>
      </w:pPr>
      <w:r>
        <w:rPr>
          <w:bCs/>
          <w:b/>
        </w:rPr>
        <w:t xml:space="preserve">Approved tools</w:t>
      </w:r>
    </w:p>
    <w:p>
      <w:pPr>
        <w:numPr>
          <w:ilvl w:val="0"/>
          <w:numId w:val="1002"/>
        </w:numPr>
        <w:pStyle w:val="Compact"/>
      </w:pPr>
      <w:r>
        <w:t xml:space="preserve">[IT department / designated role] will maintain a list of approved AI tools (see Appendix A). Staff must confirm a tool is approved before using it for work.</w:t>
      </w:r>
    </w:p>
    <w:p>
      <w:pPr>
        <w:numPr>
          <w:ilvl w:val="0"/>
          <w:numId w:val="1002"/>
        </w:numPr>
        <w:pStyle w:val="Compact"/>
      </w:pPr>
      <w:r>
        <w:t xml:space="preserve">Where an approved tool requires an account, staff must sign in with their library-provided email address, not a personal account, except where Appendix A allows personal accounts.</w:t>
      </w:r>
    </w:p>
    <w:p>
      <w:pPr>
        <w:numPr>
          <w:ilvl w:val="0"/>
          <w:numId w:val="1002"/>
        </w:numPr>
        <w:pStyle w:val="Compact"/>
      </w:pPr>
      <w:r>
        <w:t xml:space="preserve">Staff who want to use an unlisted tool must request review before use.</w:t>
      </w:r>
    </w:p>
    <w:p>
      <w:pPr>
        <w:pStyle w:val="FirstParagraph"/>
      </w:pPr>
      <w:r>
        <w:rPr>
          <w:bCs/>
          <w:b/>
        </w:rPr>
        <w:t xml:space="preserve">Protected data</w:t>
      </w:r>
    </w:p>
    <w:p>
      <w:pPr>
        <w:numPr>
          <w:ilvl w:val="0"/>
          <w:numId w:val="1003"/>
        </w:numPr>
        <w:pStyle w:val="Compact"/>
      </w:pPr>
      <w:r>
        <w:t xml:space="preserve">Staff shall not enter patron names, contact information, borrowing history, library card numbers, or any other personally identifiable information (PII) into any AI tool. Anonymize data before submission.</w:t>
      </w:r>
    </w:p>
    <w:p>
      <w:pPr>
        <w:numPr>
          <w:ilvl w:val="0"/>
          <w:numId w:val="1003"/>
        </w:numPr>
        <w:pStyle w:val="Compact"/>
      </w:pPr>
      <w:r>
        <w:t xml:space="preserve">Staff shall not enter employee data into unapproved or Public AI systems.</w:t>
      </w:r>
    </w:p>
    <w:p>
      <w:pPr>
        <w:numPr>
          <w:ilvl w:val="0"/>
          <w:numId w:val="1003"/>
        </w:numPr>
        <w:pStyle w:val="Compact"/>
      </w:pPr>
      <w:r>
        <w:t xml:space="preserve">Confidential, proprietary, or security-sensitive information (such as network diagrams, credentials, vendor contracts, and security logs) may only be entered into an approved tool when it is necessary for the tool’s function, within its approved scope, and authorized in writing by a supervisor.</w:t>
      </w:r>
    </w:p>
    <w:p>
      <w:pPr>
        <w:numPr>
          <w:ilvl w:val="0"/>
          <w:numId w:val="1003"/>
        </w:numPr>
        <w:pStyle w:val="Compact"/>
      </w:pPr>
      <w:r>
        <w:t xml:space="preserve">Staff shall never enter passwords, API keys, or other credentials into any AI tool.</w:t>
      </w:r>
    </w:p>
    <w:bookmarkEnd w:id="21"/>
    <w:bookmarkStart w:id="22" w:name="Xaabdbc660960bf19e4ed26d8595c58092f4923b"/>
    <w:p>
      <w:pPr>
        <w:pStyle w:val="Heading2"/>
      </w:pPr>
      <w:r>
        <w:t xml:space="preserve">3. Human Oversight, Accountability, and Responsible Use</w:t>
      </w:r>
    </w:p>
    <w:p>
      <w:pPr>
        <w:pStyle w:val="FirstParagraph"/>
      </w:pPr>
      <w:r>
        <w:t xml:space="preserve">AI assists staff; it does not replace professional judgment. Staff remain accountable for any work they produce or act on with AI assistance.</w:t>
      </w:r>
    </w:p>
    <w:p>
      <w:pPr>
        <w:pStyle w:val="BodyText"/>
      </w:pPr>
      <w:r>
        <w:rPr>
          <w:bCs/>
          <w:b/>
        </w:rPr>
        <w:t xml:space="preserve">Human in the loop</w:t>
      </w:r>
    </w:p>
    <w:p>
      <w:pPr>
        <w:numPr>
          <w:ilvl w:val="0"/>
          <w:numId w:val="1004"/>
        </w:numPr>
        <w:pStyle w:val="Compact"/>
      </w:pPr>
      <w:r>
        <w:t xml:space="preserve">Staff shall review and verify all AI-generated content before use or distribution, and cross-check it against reliable sources. It must be accurate, current, unbiased, free of confidential information, and consistent with library policy and copyright law.</w:t>
      </w:r>
    </w:p>
    <w:p>
      <w:pPr>
        <w:numPr>
          <w:ilvl w:val="0"/>
          <w:numId w:val="1004"/>
        </w:numPr>
        <w:pStyle w:val="Compact"/>
      </w:pPr>
      <w:r>
        <w:t xml:space="preserve">If an AI error is not corrected, the staff member who used the output is responsible for it.</w:t>
      </w:r>
    </w:p>
    <w:p>
      <w:pPr>
        <w:numPr>
          <w:ilvl w:val="0"/>
          <w:numId w:val="1004"/>
        </w:numPr>
        <w:pStyle w:val="Compact"/>
      </w:pPr>
      <w:r>
        <w:t xml:space="preserve">Staff shall not rely on AI for legal advice or opinions.</w:t>
      </w:r>
    </w:p>
    <w:p>
      <w:pPr>
        <w:numPr>
          <w:ilvl w:val="0"/>
          <w:numId w:val="1004"/>
        </w:numPr>
        <w:pStyle w:val="Compact"/>
      </w:pPr>
      <w:r>
        <w:t xml:space="preserve">Decisions that affect people’s lives must be made by humans, not fully automated.</w:t>
      </w:r>
    </w:p>
    <w:p>
      <w:pPr>
        <w:numPr>
          <w:ilvl w:val="0"/>
          <w:numId w:val="1004"/>
        </w:numPr>
        <w:pStyle w:val="Compact"/>
      </w:pPr>
      <w:r>
        <w:t xml:space="preserve">AI shall not be used alone to make or inform employment decisions, including hiring, promotion, discipline, termination, or performance evaluation.</w:t>
      </w:r>
    </w:p>
    <w:p>
      <w:pPr>
        <w:pStyle w:val="FirstParagraph"/>
      </w:pPr>
      <w:r>
        <w:rPr>
          <w:bCs/>
          <w:b/>
        </w:rPr>
        <w:t xml:space="preserve">Transparency and disclosure</w:t>
      </w:r>
    </w:p>
    <w:p>
      <w:pPr>
        <w:numPr>
          <w:ilvl w:val="0"/>
          <w:numId w:val="1005"/>
        </w:numPr>
        <w:pStyle w:val="Compact"/>
      </w:pPr>
      <w:r>
        <w:t xml:space="preserve">Staff shall not use AI to deceive, manipulate, mislead, or falsify information, or present AI-generated content as solely human-created.</w:t>
      </w:r>
    </w:p>
    <w:p>
      <w:pPr>
        <w:numPr>
          <w:ilvl w:val="0"/>
          <w:numId w:val="1005"/>
        </w:numPr>
        <w:pStyle w:val="Compact"/>
      </w:pPr>
      <w:r>
        <w:t xml:space="preserve">When AI is used substantially to create an original work (such as a blog post, social media post, report, or marketing material), include a statement that AI was used. Attribution is not required for minor uses such as brainstorming or grammar and spell-checking.</w:t>
      </w:r>
    </w:p>
    <w:p>
      <w:pPr>
        <w:numPr>
          <w:ilvl w:val="0"/>
          <w:numId w:val="1005"/>
        </w:numPr>
        <w:pStyle w:val="Compact"/>
      </w:pPr>
      <w:r>
        <w:t xml:space="preserve">Other disclosure decisions should use professional judgment based on context and audience.</w:t>
      </w:r>
    </w:p>
    <w:p>
      <w:pPr>
        <w:pStyle w:val="FirstParagraph"/>
      </w:pPr>
      <w:r>
        <w:rPr>
          <w:bCs/>
          <w:b/>
        </w:rPr>
        <w:t xml:space="preserve">Resource awareness</w:t>
      </w:r>
    </w:p>
    <w:p>
      <w:pPr>
        <w:numPr>
          <w:ilvl w:val="0"/>
          <w:numId w:val="1006"/>
        </w:numPr>
        <w:pStyle w:val="Compact"/>
      </w:pPr>
      <w:r>
        <w:t xml:space="preserve">Staff should be mindful of AI’s resource and environmental costs and choose a simpler approach when it gives a comparable result in comparable time.</w:t>
      </w:r>
    </w:p>
    <w:bookmarkEnd w:id="22"/>
    <w:bookmarkStart w:id="23" w:name="legal-compliance-copyright-and-records"/>
    <w:p>
      <w:pPr>
        <w:pStyle w:val="Heading2"/>
      </w:pPr>
      <w:r>
        <w:t xml:space="preserve">4. Legal Compliance, Copyright, and Records</w:t>
      </w:r>
    </w:p>
    <w:p>
      <w:pPr>
        <w:pStyle w:val="FirstParagraph"/>
      </w:pPr>
      <w:r>
        <w:rPr>
          <w:bCs/>
          <w:b/>
        </w:rPr>
        <w:t xml:space="preserve">Legal compliance</w:t>
      </w:r>
    </w:p>
    <w:p>
      <w:pPr>
        <w:numPr>
          <w:ilvl w:val="0"/>
          <w:numId w:val="1007"/>
        </w:numPr>
        <w:pStyle w:val="Compact"/>
      </w:pPr>
      <w:r>
        <w:t xml:space="preserve">Staff shall use AI only in compliance with applicable federal, state, and local laws and library policies, and shall not use AI to engage in or solicit illegal activity.</w:t>
      </w:r>
    </w:p>
    <w:p>
      <w:pPr>
        <w:numPr>
          <w:ilvl w:val="0"/>
          <w:numId w:val="1007"/>
        </w:numPr>
        <w:pStyle w:val="Compact"/>
      </w:pPr>
      <w:r>
        <w:t xml:space="preserve">Staff shall not use AI tools to record, transcribe, or summarize meetings, calls, or conversations unless all participants have been notified and have consented. Recording laws vary by state, and this rule applies regardless of where participants are located.</w:t>
      </w:r>
    </w:p>
    <w:p>
      <w:pPr>
        <w:pStyle w:val="FirstParagraph"/>
      </w:pPr>
      <w:r>
        <w:rPr>
          <w:bCs/>
          <w:b/>
        </w:rPr>
        <w:t xml:space="preserve">Copyright and intellectual property</w:t>
      </w:r>
    </w:p>
    <w:p>
      <w:pPr>
        <w:numPr>
          <w:ilvl w:val="0"/>
          <w:numId w:val="1008"/>
        </w:numPr>
        <w:pStyle w:val="Compact"/>
      </w:pPr>
      <w:r>
        <w:t xml:space="preserve">AI use must not violate copyright, trademark, or other intellectual property rights. Staff shall review AI output for potential copyright issues and make a best effort to avoid using copyrighted material without permission.</w:t>
      </w:r>
    </w:p>
    <w:p>
      <w:pPr>
        <w:pStyle w:val="FirstParagraph"/>
      </w:pPr>
      <w:r>
        <w:rPr>
          <w:bCs/>
          <w:b/>
        </w:rPr>
        <w:t xml:space="preserve">Records retention and public records</w:t>
      </w:r>
    </w:p>
    <w:p>
      <w:pPr>
        <w:numPr>
          <w:ilvl w:val="0"/>
          <w:numId w:val="1009"/>
        </w:numPr>
        <w:pStyle w:val="Compact"/>
      </w:pPr>
      <w:r>
        <w:t xml:space="preserve">AI prompts and outputs are subject to the same retention rules as other library records. Final records created with AI shall be retained under the library’s approved retention schedules.</w:t>
      </w:r>
    </w:p>
    <w:p>
      <w:pPr>
        <w:numPr>
          <w:ilvl w:val="0"/>
          <w:numId w:val="1009"/>
        </w:numPr>
        <w:pStyle w:val="Compact"/>
      </w:pPr>
      <w:r>
        <w:t xml:space="preserve">AI use does not create a new retention obligation. Prompts need not be retained unless incorporated into, or relied upon as part of, an official record.</w:t>
      </w:r>
    </w:p>
    <w:p>
      <w:pPr>
        <w:numPr>
          <w:ilvl w:val="0"/>
          <w:numId w:val="1009"/>
        </w:numPr>
        <w:pStyle w:val="Compact"/>
      </w:pPr>
      <w:r>
        <w:t xml:space="preserve">Retained AI-related materials may be subject to disclosure under [state public records / Freedom of Information law], consistent with applicable exemptions. Staff with retention questions should consult [Library Director / legal counsel].</w:t>
      </w:r>
    </w:p>
    <w:bookmarkEnd w:id="23"/>
    <w:bookmarkStart w:id="24" w:name="X82c13fb9a40135df8b98717c5114129aa574612"/>
    <w:p>
      <w:pPr>
        <w:pStyle w:val="Heading2"/>
      </w:pPr>
      <w:r>
        <w:t xml:space="preserve">5. Accessibility, Bias, Training, Review, and Enforcement</w:t>
      </w:r>
    </w:p>
    <w:p>
      <w:pPr>
        <w:pStyle w:val="FirstParagraph"/>
      </w:pPr>
      <w:r>
        <w:rPr>
          <w:bCs/>
          <w:b/>
        </w:rPr>
        <w:t xml:space="preserve">Accessibility (ADA)</w:t>
      </w:r>
    </w:p>
    <w:p>
      <w:pPr>
        <w:numPr>
          <w:ilvl w:val="0"/>
          <w:numId w:val="1010"/>
        </w:numPr>
        <w:pStyle w:val="Compact"/>
      </w:pPr>
      <w:r>
        <w:t xml:space="preserve">AI use does not diminish the library’s obligations under the Americans with Disabilities Act and other applicable accessibility laws.</w:t>
      </w:r>
    </w:p>
    <w:p>
      <w:pPr>
        <w:numPr>
          <w:ilvl w:val="0"/>
          <w:numId w:val="1010"/>
        </w:numPr>
        <w:pStyle w:val="Compact"/>
      </w:pPr>
      <w:r>
        <w:t xml:space="preserve">AI tools are evaluated for accessibility and compatibility with assistive technologies before adoption.</w:t>
      </w:r>
    </w:p>
    <w:p>
      <w:pPr>
        <w:numPr>
          <w:ilvl w:val="0"/>
          <w:numId w:val="1010"/>
        </w:numPr>
        <w:pStyle w:val="Compact"/>
      </w:pPr>
      <w:r>
        <w:t xml:space="preserve">The library shall maintain reasonable alternative ways to access services and information when an AI-based system is unavailable or inaccessible to an individual.</w:t>
      </w:r>
    </w:p>
    <w:p>
      <w:pPr>
        <w:pStyle w:val="FirstParagraph"/>
      </w:pPr>
      <w:r>
        <w:rPr>
          <w:bCs/>
          <w:b/>
        </w:rPr>
        <w:t xml:space="preserve">Bias and equity</w:t>
      </w:r>
    </w:p>
    <w:p>
      <w:pPr>
        <w:numPr>
          <w:ilvl w:val="0"/>
          <w:numId w:val="1011"/>
        </w:numPr>
        <w:pStyle w:val="Compact"/>
      </w:pPr>
      <w:r>
        <w:t xml:space="preserve">AI output may contain inaccuracies, biases, stereotypes, or omissions. Staff shall review output for fairness, accuracy, and inclusiveness, and for alignment with library values, before relying on or publishing it.</w:t>
      </w:r>
    </w:p>
    <w:p>
      <w:pPr>
        <w:numPr>
          <w:ilvl w:val="0"/>
          <w:numId w:val="1011"/>
        </w:numPr>
        <w:pStyle w:val="Compact"/>
      </w:pPr>
      <w:r>
        <w:t xml:space="preserve">AI shall not be used to discriminate on the basis of any characteristic protected under federal, state, or local law.</w:t>
      </w:r>
    </w:p>
    <w:p>
      <w:pPr>
        <w:pStyle w:val="FirstParagraph"/>
      </w:pPr>
      <w:r>
        <w:rPr>
          <w:bCs/>
          <w:b/>
        </w:rPr>
        <w:t xml:space="preserve">Training</w:t>
      </w:r>
    </w:p>
    <w:p>
      <w:pPr>
        <w:pStyle w:val="BodyText"/>
      </w:pPr>
      <w:r>
        <w:t xml:space="preserve">The library will provide periodic training on appropriate AI use, including ethics, bias recognition, privacy protection, records and public records responsibilities, and assisting patrons with AI tools.</w:t>
      </w:r>
    </w:p>
    <w:p>
      <w:pPr>
        <w:pStyle w:val="BodyText"/>
      </w:pPr>
      <w:r>
        <w:rPr>
          <w:bCs/>
          <w:b/>
        </w:rPr>
        <w:t xml:space="preserve">Periodic review</w:t>
      </w:r>
    </w:p>
    <w:p>
      <w:pPr>
        <w:pStyle w:val="BodyText"/>
      </w:pPr>
      <w:r>
        <w:t xml:space="preserve">The library shall review this policy and the approved tools list at least [annually] to keep them aligned with changing technology, law, and library operations.</w:t>
      </w:r>
    </w:p>
    <w:p>
      <w:pPr>
        <w:pStyle w:val="BodyText"/>
      </w:pPr>
      <w:r>
        <w:rPr>
          <w:bCs/>
          <w:b/>
        </w:rPr>
        <w:t xml:space="preserve">Violations</w:t>
      </w:r>
    </w:p>
    <w:p>
      <w:pPr>
        <w:pStyle w:val="BodyText"/>
      </w:pPr>
      <w:r>
        <w:t xml:space="preserve">Staff who violate this policy may be subject to disciplinary action, up to and including termination of employment.</w:t>
      </w:r>
    </w:p>
    <w:bookmarkEnd w:id="24"/>
    <w:bookmarkStart w:id="25" w:name="appendix-a-approved-ai-tools"/>
    <w:p>
      <w:pPr>
        <w:pStyle w:val="Heading2"/>
      </w:pPr>
      <w:r>
        <w:t xml:space="preserve">Appendix A: Approved AI Tools</w:t>
      </w:r>
    </w:p>
    <w:p>
      <w:pPr>
        <w:pStyle w:val="FirstParagraph"/>
      </w:pPr>
      <w:r>
        <w:t xml:space="preserve">No tool on this list may be used for library work until [IT department / designated role] completes its vetting review and changes the status to Approved. Edit this list to match the tools your library chooses.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Tool</w:t>
            </w:r>
          </w:p>
        </w:tc>
        <w:tc>
          <w:tcPr/>
          <w:p>
            <w:pPr>
              <w:pStyle w:val="Compact"/>
              <w:jc w:val="left"/>
            </w:pPr>
            <w:r>
              <w:t xml:space="preserve">Typical library use</w:t>
            </w:r>
          </w:p>
        </w:tc>
        <w:tc>
          <w:tcPr/>
          <w:p>
            <w:pPr>
              <w:pStyle w:val="Compact"/>
              <w:jc w:val="left"/>
            </w:pPr>
            <w:r>
              <w:t xml:space="preserve">Status</w:t>
            </w:r>
          </w:p>
        </w:tc>
        <w:tc>
          <w:tcPr/>
          <w:p>
            <w:pPr>
              <w:pStyle w:val="Compact"/>
              <w:jc w:val="left"/>
            </w:pPr>
            <w:r>
              <w:t xml:space="preserve">Conditions of use</w:t>
            </w:r>
          </w:p>
        </w:tc>
      </w:tr>
      <w:tr>
        <w:tc>
          <w:tcPr/>
          <w:p>
            <w:pPr>
              <w:pStyle w:val="Compact"/>
              <w:jc w:val="left"/>
            </w:pPr>
            <w:r>
              <w:t xml:space="preserve">Microsoft Copilot Chat</w:t>
            </w:r>
          </w:p>
        </w:tc>
        <w:tc>
          <w:tcPr/>
          <w:p>
            <w:pPr>
              <w:pStyle w:val="Compact"/>
              <w:jc w:val="left"/>
            </w:pPr>
            <w:r>
              <w:t xml:space="preserve">Drafting, summarizing, and assistance inside Word, Excel, and PowerPoint</w:t>
            </w:r>
          </w:p>
        </w:tc>
        <w:tc>
          <w:tcPr/>
          <w:p>
            <w:pPr>
              <w:pStyle w:val="Compact"/>
              <w:jc w:val="left"/>
            </w:pPr>
            <w:r>
              <w:t xml:space="preserve">Pending review</w:t>
            </w:r>
          </w:p>
        </w:tc>
        <w:tc>
          <w:tcPr/>
          <w:p>
            <w:pPr>
              <w:pStyle w:val="Compact"/>
              <w:jc w:val="left"/>
            </w:pPr>
            <w:r>
              <w:t xml:space="preserve">Sign in with a library Microsoft 365 account only</w:t>
            </w:r>
          </w:p>
        </w:tc>
      </w:tr>
      <w:tr>
        <w:tc>
          <w:tcPr/>
          <w:p>
            <w:pPr>
              <w:pStyle w:val="Compact"/>
              <w:jc w:val="left"/>
            </w:pPr>
            <w:r>
              <w:t xml:space="preserve">Adobe Express and Firefly</w:t>
            </w:r>
          </w:p>
        </w:tc>
        <w:tc>
          <w:tcPr/>
          <w:p>
            <w:pPr>
              <w:pStyle w:val="Compact"/>
              <w:jc w:val="left"/>
            </w:pPr>
            <w:r>
              <w:t xml:space="preserve">Flyers, social posts, and program graphics</w:t>
            </w:r>
          </w:p>
        </w:tc>
        <w:tc>
          <w:tcPr/>
          <w:p>
            <w:pPr>
              <w:pStyle w:val="Compact"/>
              <w:jc w:val="left"/>
            </w:pPr>
            <w:r>
              <w:t xml:space="preserve">Pending review</w:t>
            </w:r>
          </w:p>
        </w:tc>
        <w:tc>
          <w:tcPr/>
          <w:p>
            <w:pPr>
              <w:pStyle w:val="Compact"/>
              <w:jc w:val="left"/>
            </w:pPr>
            <w:r>
              <w:t xml:space="preserve">Library Adobe account only; disclose substantial AI-generated imagery (Section 3)</w:t>
            </w:r>
          </w:p>
        </w:tc>
      </w:tr>
      <w:tr>
        <w:tc>
          <w:tcPr/>
          <w:p>
            <w:pPr>
              <w:pStyle w:val="Compact"/>
              <w:jc w:val="left"/>
            </w:pPr>
            <w:r>
              <w:t xml:space="preserve">Adobe Acrobat Pro (AI features)</w:t>
            </w:r>
          </w:p>
        </w:tc>
        <w:tc>
          <w:tcPr/>
          <w:p>
            <w:pPr>
              <w:pStyle w:val="Compact"/>
              <w:jc w:val="left"/>
            </w:pPr>
            <w:r>
              <w:t xml:space="preserve">PDF editing, summaries, and accessibility checks</w:t>
            </w:r>
          </w:p>
        </w:tc>
        <w:tc>
          <w:tcPr/>
          <w:p>
            <w:pPr>
              <w:pStyle w:val="Compact"/>
              <w:jc w:val="left"/>
            </w:pPr>
            <w:r>
              <w:t xml:space="preserve">Pending review</w:t>
            </w:r>
          </w:p>
        </w:tc>
        <w:tc>
          <w:tcPr/>
          <w:p>
            <w:pPr>
              <w:pStyle w:val="Compact"/>
              <w:jc w:val="left"/>
            </w:pPr>
            <w:r>
              <w:t xml:space="preserve">Do not upload documents containing patron PII</w:t>
            </w:r>
          </w:p>
        </w:tc>
      </w:tr>
      <w:tr>
        <w:tc>
          <w:tcPr/>
          <w:p>
            <w:pPr>
              <w:pStyle w:val="Compact"/>
              <w:jc w:val="left"/>
            </w:pPr>
            <w:r>
              <w:t xml:space="preserve">Zoom AI Companion</w:t>
            </w:r>
          </w:p>
        </w:tc>
        <w:tc>
          <w:tcPr/>
          <w:p>
            <w:pPr>
              <w:pStyle w:val="Compact"/>
              <w:jc w:val="left"/>
            </w:pPr>
            <w:r>
              <w:t xml:space="preserve">Meeting summaries and live transcription</w:t>
            </w:r>
          </w:p>
        </w:tc>
        <w:tc>
          <w:tcPr/>
          <w:p>
            <w:pPr>
              <w:pStyle w:val="Compact"/>
              <w:jc w:val="left"/>
            </w:pPr>
            <w:r>
              <w:t xml:space="preserve">Pending review</w:t>
            </w:r>
          </w:p>
        </w:tc>
        <w:tc>
          <w:tcPr/>
          <w:p>
            <w:pPr>
              <w:pStyle w:val="Compact"/>
              <w:jc w:val="left"/>
            </w:pPr>
            <w:r>
              <w:t xml:space="preserve">All participants must be notified and consent (Section 4)</w:t>
            </w:r>
          </w:p>
        </w:tc>
      </w:tr>
      <w:tr>
        <w:tc>
          <w:tcPr/>
          <w:p>
            <w:pPr>
              <w:pStyle w:val="Compact"/>
              <w:jc w:val="left"/>
            </w:pPr>
            <w:r>
              <w:t xml:space="preserve">Canva AI</w:t>
            </w:r>
          </w:p>
        </w:tc>
        <w:tc>
          <w:tcPr/>
          <w:p>
            <w:pPr>
              <w:pStyle w:val="Compact"/>
              <w:jc w:val="left"/>
            </w:pPr>
            <w:r>
              <w:t xml:space="preserve">Design and marketing materials</w:t>
            </w:r>
          </w:p>
        </w:tc>
        <w:tc>
          <w:tcPr/>
          <w:p>
            <w:pPr>
              <w:pStyle w:val="Compact"/>
              <w:jc w:val="left"/>
            </w:pPr>
            <w:r>
              <w:t xml:space="preserve">Pending review</w:t>
            </w:r>
          </w:p>
        </w:tc>
        <w:tc>
          <w:tcPr/>
          <w:p>
            <w:pPr>
              <w:pStyle w:val="Compact"/>
              <w:jc w:val="left"/>
            </w:pPr>
            <w:r>
              <w:t xml:space="preserve">Library-managed team account only; disclose substantial AI-generated imagery (Section 3)</w:t>
            </w:r>
          </w:p>
        </w:tc>
      </w:tr>
      <w:tr>
        <w:tc>
          <w:tcPr/>
          <w:p>
            <w:pPr>
              <w:pStyle w:val="Compact"/>
              <w:jc w:val="left"/>
            </w:pPr>
            <w:r>
              <w:t xml:space="preserve">ChatGPT</w:t>
            </w:r>
          </w:p>
        </w:tc>
        <w:tc>
          <w:tcPr/>
          <w:p>
            <w:pPr>
              <w:pStyle w:val="Compact"/>
              <w:jc w:val="left"/>
            </w:pPr>
            <w:r>
              <w:t xml:space="preserve">Drafting, brainstorming, and research assistance</w:t>
            </w:r>
          </w:p>
        </w:tc>
        <w:tc>
          <w:tcPr/>
          <w:p>
            <w:pPr>
              <w:pStyle w:val="Compact"/>
              <w:jc w:val="left"/>
            </w:pPr>
            <w:r>
              <w:t xml:space="preserve">Pending review</w:t>
            </w:r>
          </w:p>
        </w:tc>
        <w:tc>
          <w:tcPr/>
          <w:p>
            <w:pPr>
              <w:pStyle w:val="Compact"/>
              <w:jc w:val="left"/>
            </w:pPr>
            <w:r>
              <w:t xml:space="preserve">Personal or organization accounts allowed; no PII or confidential library data; turn off training on inputs where available</w:t>
            </w:r>
          </w:p>
        </w:tc>
      </w:tr>
      <w:tr>
        <w:tc>
          <w:tcPr/>
          <w:p>
            <w:pPr>
              <w:pStyle w:val="Compact"/>
              <w:jc w:val="left"/>
            </w:pPr>
            <w:r>
              <w:t xml:space="preserve">Claude</w:t>
            </w:r>
          </w:p>
        </w:tc>
        <w:tc>
          <w:tcPr/>
          <w:p>
            <w:pPr>
              <w:pStyle w:val="Compact"/>
              <w:jc w:val="left"/>
            </w:pPr>
            <w:r>
              <w:t xml:space="preserve">Drafting, brainstorming, document analysis, and research assistance</w:t>
            </w:r>
          </w:p>
        </w:tc>
        <w:tc>
          <w:tcPr/>
          <w:p>
            <w:pPr>
              <w:pStyle w:val="Compact"/>
              <w:jc w:val="left"/>
            </w:pPr>
            <w:r>
              <w:t xml:space="preserve">Pending review</w:t>
            </w:r>
          </w:p>
        </w:tc>
        <w:tc>
          <w:tcPr/>
          <w:p>
            <w:pPr>
              <w:pStyle w:val="Compact"/>
              <w:jc w:val="left"/>
            </w:pPr>
            <w:r>
              <w:t xml:space="preserve">Personal or organization accounts allowed; no PII or confidential library data; turn off training on inputs where available</w:t>
            </w:r>
          </w:p>
        </w:tc>
      </w:tr>
    </w:tbl>
    <w:p>
      <w:pPr>
        <w:pStyle w:val="BodyText"/>
      </w:pPr>
      <w:r>
        <w:t xml:space="preserve">All tools remain subject to Sections 2 through 5, including the prohibition on entering patron PII or credentials.</w:t>
      </w:r>
    </w:p>
    <w:bookmarkEnd w:id="25"/>
    <w:bookmarkStart w:id="26" w:name="sources"/>
    <w:p>
      <w:pPr>
        <w:pStyle w:val="Heading2"/>
      </w:pPr>
      <w:r>
        <w:t xml:space="preserve">Sources</w:t>
      </w:r>
    </w:p>
    <w:p>
      <w:pPr>
        <w:pStyle w:val="FirstParagraph"/>
      </w:pPr>
      <w:r>
        <w:t xml:space="preserve">This template was adapted from the following source.</w:t>
      </w:r>
    </w:p>
    <w:p>
      <w:pPr>
        <w:numPr>
          <w:ilvl w:val="0"/>
          <w:numId w:val="1012"/>
        </w:numPr>
        <w:pStyle w:val="Compact"/>
      </w:pPr>
      <w:r>
        <w:t xml:space="preserve">American Library Association.</w:t>
      </w:r>
      <w:r>
        <w:t xml:space="preserve"> </w:t>
      </w:r>
      <w:r>
        <w:rPr>
          <w:iCs/>
          <w:i/>
        </w:rPr>
        <w:t xml:space="preserve">AI policy guidance for library staff</w:t>
      </w:r>
      <w:r>
        <w:t xml:space="preserve"> </w:t>
      </w:r>
      <w:r>
        <w:t xml:space="preserve">(core components, additional considerations, and recommended actions; last updated July 8, 2026).</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2026-10-03T17:25:59Z</dcterms:created>
  <dcterms:modified xsi:type="dcterms:W3CDTF">2026-10-03T17:25:59Z</dcterms:modified>
</cp:coreProperties>
</file>

<file path=docProps/custom.xml><?xml version="1.0" encoding="utf-8"?>
<Properties xmlns="http://schemas.openxmlformats.org/officeDocument/2006/custom-properties" xmlns:vt="http://schemas.openxmlformats.org/officeDocument/2006/docPropsVTypes"/>
</file>