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33D95D" w14:textId="77777777" w:rsidR="0077631C" w:rsidRDefault="00000000">
      <w:pPr>
        <w:rPr>
          <w:rFonts w:ascii="Times New Roman" w:eastAsia="Times New Roman" w:hAnsi="Times New Roman" w:cs="Times New Roman"/>
        </w:rPr>
      </w:pPr>
      <w:r>
        <w:rPr>
          <w:rFonts w:ascii="Times New Roman" w:eastAsia="Times New Roman" w:hAnsi="Times New Roman" w:cs="Times New Roman"/>
        </w:rPr>
        <w:t>2025.12.02.</w:t>
      </w:r>
    </w:p>
    <w:p w14:paraId="1D269C27" w14:textId="77777777" w:rsidR="0077631C" w:rsidRDefault="0077631C">
      <w:pPr>
        <w:rPr>
          <w:rFonts w:ascii="Times New Roman" w:eastAsia="Times New Roman" w:hAnsi="Times New Roman" w:cs="Times New Roman"/>
        </w:rPr>
      </w:pPr>
    </w:p>
    <w:p w14:paraId="6D415610" w14:textId="77777777" w:rsidR="0077631C" w:rsidRDefault="0077631C">
      <w:pPr>
        <w:rPr>
          <w:rFonts w:ascii="Times New Roman" w:eastAsia="Times New Roman" w:hAnsi="Times New Roman" w:cs="Times New Roman"/>
        </w:rPr>
      </w:pPr>
    </w:p>
    <w:p w14:paraId="7E8F921A" w14:textId="77777777" w:rsidR="0077631C" w:rsidRDefault="0077631C">
      <w:pPr>
        <w:rPr>
          <w:rFonts w:ascii="Times New Roman" w:eastAsia="Times New Roman" w:hAnsi="Times New Roman" w:cs="Times New Roman"/>
        </w:rPr>
      </w:pPr>
    </w:p>
    <w:p w14:paraId="64E4FE08" w14:textId="77777777" w:rsidR="0077631C" w:rsidRDefault="0077631C">
      <w:pPr>
        <w:rPr>
          <w:rFonts w:ascii="Times New Roman" w:eastAsia="Times New Roman" w:hAnsi="Times New Roman" w:cs="Times New Roman"/>
        </w:rPr>
      </w:pPr>
    </w:p>
    <w:p w14:paraId="3FF26C39" w14:textId="77777777" w:rsidR="0077631C" w:rsidRDefault="0077631C">
      <w:pPr>
        <w:rPr>
          <w:rFonts w:ascii="Times New Roman" w:eastAsia="Times New Roman" w:hAnsi="Times New Roman" w:cs="Times New Roman"/>
        </w:rPr>
      </w:pPr>
    </w:p>
    <w:p w14:paraId="522E8F16" w14:textId="77777777" w:rsidR="0077631C" w:rsidRDefault="0077631C">
      <w:pPr>
        <w:rPr>
          <w:rFonts w:ascii="Times New Roman" w:eastAsia="Times New Roman" w:hAnsi="Times New Roman" w:cs="Times New Roman"/>
        </w:rPr>
      </w:pPr>
    </w:p>
    <w:p w14:paraId="5F342AAA" w14:textId="77777777" w:rsidR="0077631C" w:rsidRDefault="0077631C">
      <w:pPr>
        <w:rPr>
          <w:rFonts w:ascii="Times New Roman" w:eastAsia="Times New Roman" w:hAnsi="Times New Roman" w:cs="Times New Roman"/>
        </w:rPr>
      </w:pPr>
    </w:p>
    <w:p w14:paraId="6F559645" w14:textId="77777777" w:rsidR="0077631C" w:rsidRDefault="0077631C">
      <w:pPr>
        <w:rPr>
          <w:rFonts w:ascii="Times New Roman" w:eastAsia="Times New Roman" w:hAnsi="Times New Roman" w:cs="Times New Roman"/>
        </w:rPr>
      </w:pPr>
    </w:p>
    <w:p w14:paraId="4172BF17" w14:textId="77777777" w:rsidR="0077631C" w:rsidRDefault="0077631C">
      <w:pPr>
        <w:rPr>
          <w:rFonts w:ascii="Times New Roman" w:eastAsia="Times New Roman" w:hAnsi="Times New Roman" w:cs="Times New Roman"/>
        </w:rPr>
      </w:pPr>
    </w:p>
    <w:p w14:paraId="6A19B017" w14:textId="77777777" w:rsidR="0077631C" w:rsidRDefault="00000000">
      <w:pPr>
        <w:jc w:val="center"/>
        <w:rPr>
          <w:rFonts w:ascii="Times New Roman" w:eastAsia="Times New Roman" w:hAnsi="Times New Roman" w:cs="Times New Roman"/>
          <w:b/>
          <w:bCs/>
          <w:sz w:val="52"/>
          <w:szCs w:val="52"/>
        </w:rPr>
      </w:pPr>
      <w:r>
        <w:rPr>
          <w:rFonts w:ascii="Times New Roman" w:eastAsia="Times New Roman" w:hAnsi="Times New Roman" w:cs="Times New Roman"/>
          <w:b/>
          <w:bCs/>
          <w:sz w:val="52"/>
          <w:szCs w:val="52"/>
        </w:rPr>
        <w:t>Temporal Community Dynamics in Urban Mobility: A Network Analysis of NYC Citi Bike</w:t>
      </w:r>
    </w:p>
    <w:p w14:paraId="76856148" w14:textId="77777777" w:rsidR="0077631C" w:rsidRDefault="0077631C">
      <w:pPr>
        <w:rPr>
          <w:rFonts w:ascii="Times New Roman" w:eastAsia="Times New Roman" w:hAnsi="Times New Roman" w:cs="Times New Roman"/>
          <w:sz w:val="28"/>
          <w:szCs w:val="28"/>
        </w:rPr>
      </w:pPr>
    </w:p>
    <w:p w14:paraId="75F1FBD1" w14:textId="77777777" w:rsidR="0077631C" w:rsidRDefault="0077631C">
      <w:pPr>
        <w:rPr>
          <w:rFonts w:ascii="Times New Roman" w:eastAsia="Times New Roman" w:hAnsi="Times New Roman" w:cs="Times New Roman"/>
          <w:sz w:val="28"/>
          <w:szCs w:val="28"/>
        </w:rPr>
      </w:pPr>
    </w:p>
    <w:p w14:paraId="5F567A15" w14:textId="77777777" w:rsidR="0077631C" w:rsidRDefault="0077631C">
      <w:pPr>
        <w:rPr>
          <w:rFonts w:ascii="Times New Roman" w:eastAsia="Times New Roman" w:hAnsi="Times New Roman" w:cs="Times New Roman"/>
          <w:sz w:val="28"/>
          <w:szCs w:val="28"/>
        </w:rPr>
      </w:pPr>
    </w:p>
    <w:p w14:paraId="13966CE5" w14:textId="77777777" w:rsidR="0077631C" w:rsidRDefault="0077631C">
      <w:pPr>
        <w:rPr>
          <w:rFonts w:ascii="Times New Roman" w:eastAsia="Times New Roman" w:hAnsi="Times New Roman" w:cs="Times New Roman"/>
          <w:sz w:val="28"/>
          <w:szCs w:val="28"/>
        </w:rPr>
      </w:pPr>
    </w:p>
    <w:p w14:paraId="0CDC4AF0" w14:textId="77777777" w:rsidR="0077631C" w:rsidRDefault="00000000">
      <w:pPr>
        <w:rPr>
          <w:rFonts w:ascii="Times New Roman" w:eastAsia="Times New Roman" w:hAnsi="Times New Roman" w:cs="Times New Roman"/>
          <w:sz w:val="32"/>
          <w:szCs w:val="32"/>
        </w:rPr>
      </w:pPr>
      <w:r>
        <w:rPr>
          <w:rFonts w:ascii="Times New Roman" w:eastAsia="Times New Roman" w:hAnsi="Times New Roman" w:cs="Times New Roman"/>
          <w:sz w:val="32"/>
          <w:szCs w:val="32"/>
        </w:rPr>
        <w:t>Applied Network Science</w:t>
      </w:r>
      <w:r>
        <w:rPr>
          <w:rFonts w:ascii="Times New Roman" w:eastAsia="Times New Roman" w:hAnsi="Times New Roman" w:cs="Times New Roman"/>
          <w:sz w:val="32"/>
          <w:szCs w:val="32"/>
        </w:rPr>
        <w:br/>
        <w:t>Group Project</w:t>
      </w:r>
    </w:p>
    <w:p w14:paraId="7A338012" w14:textId="77777777" w:rsidR="0077631C" w:rsidRDefault="0077631C">
      <w:pPr>
        <w:rPr>
          <w:rFonts w:ascii="Times New Roman" w:eastAsia="Times New Roman" w:hAnsi="Times New Roman" w:cs="Times New Roman"/>
          <w:u w:val="single"/>
        </w:rPr>
      </w:pPr>
    </w:p>
    <w:p w14:paraId="24C53D29" w14:textId="77777777" w:rsidR="0077631C" w:rsidRDefault="00000000">
      <w:pPr>
        <w:rPr>
          <w:rFonts w:ascii="Times New Roman" w:eastAsia="Times New Roman" w:hAnsi="Times New Roman" w:cs="Times New Roman"/>
          <w:u w:val="single"/>
        </w:rPr>
      </w:pPr>
      <w:r>
        <w:rPr>
          <w:rFonts w:ascii="Times New Roman" w:eastAsia="Times New Roman" w:hAnsi="Times New Roman" w:cs="Times New Roman"/>
          <w:u w:val="single"/>
        </w:rPr>
        <w:t>Authors:</w:t>
      </w:r>
    </w:p>
    <w:p w14:paraId="3DC802DF" w14:textId="77777777" w:rsidR="0077631C" w:rsidRDefault="00000000">
      <w:pPr>
        <w:rPr>
          <w:rFonts w:ascii="Times New Roman" w:eastAsia="Times New Roman" w:hAnsi="Times New Roman" w:cs="Times New Roman"/>
        </w:rPr>
      </w:pPr>
      <w:proofErr w:type="spellStart"/>
      <w:r>
        <w:rPr>
          <w:rFonts w:ascii="Times New Roman" w:eastAsia="Times New Roman" w:hAnsi="Times New Roman" w:cs="Times New Roman"/>
        </w:rPr>
        <w:t>Ujvári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Botond</w:t>
      </w:r>
      <w:proofErr w:type="spellEnd"/>
      <w:r>
        <w:rPr>
          <w:rFonts w:ascii="Times New Roman" w:eastAsia="Times New Roman" w:hAnsi="Times New Roman" w:cs="Times New Roman"/>
        </w:rPr>
        <w:t xml:space="preserve"> Rudolf</w:t>
      </w:r>
    </w:p>
    <w:p w14:paraId="3D22E899" w14:textId="77777777" w:rsidR="0077631C" w:rsidRDefault="00000000">
      <w:pPr>
        <w:rPr>
          <w:rFonts w:ascii="Times New Roman" w:eastAsia="Times New Roman" w:hAnsi="Times New Roman" w:cs="Times New Roman"/>
        </w:rPr>
      </w:pPr>
      <w:proofErr w:type="spellStart"/>
      <w:r>
        <w:rPr>
          <w:rFonts w:ascii="Times New Roman" w:eastAsia="Times New Roman" w:hAnsi="Times New Roman" w:cs="Times New Roman"/>
        </w:rPr>
        <w:t>Garas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Fábián</w:t>
      </w:r>
      <w:proofErr w:type="spellEnd"/>
      <w:r>
        <w:rPr>
          <w:rFonts w:ascii="Times New Roman" w:eastAsia="Times New Roman" w:hAnsi="Times New Roman" w:cs="Times New Roman"/>
        </w:rPr>
        <w:t xml:space="preserve"> Máté</w:t>
      </w:r>
    </w:p>
    <w:p w14:paraId="7F420946" w14:textId="77777777" w:rsidR="0077631C" w:rsidRDefault="00000000">
      <w:pPr>
        <w:rPr>
          <w:rFonts w:ascii="Times New Roman" w:eastAsia="Times New Roman" w:hAnsi="Times New Roman" w:cs="Times New Roman"/>
        </w:rPr>
      </w:pPr>
      <w:r>
        <w:rPr>
          <w:rFonts w:ascii="Times New Roman" w:eastAsia="Times New Roman" w:hAnsi="Times New Roman" w:cs="Times New Roman"/>
        </w:rPr>
        <w:t>Szabó Levente</w:t>
      </w:r>
    </w:p>
    <w:p w14:paraId="236ABE83" w14:textId="77777777" w:rsidR="0077631C" w:rsidRDefault="00000000">
      <w:pPr>
        <w:rPr>
          <w:rFonts w:ascii="Times New Roman" w:eastAsia="Times New Roman" w:hAnsi="Times New Roman" w:cs="Times New Roman"/>
        </w:rPr>
      </w:pPr>
      <w:proofErr w:type="spellStart"/>
      <w:r>
        <w:rPr>
          <w:rFonts w:ascii="Times New Roman" w:eastAsia="Times New Roman" w:hAnsi="Times New Roman" w:cs="Times New Roman"/>
        </w:rPr>
        <w:t>Burkus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Ádám</w:t>
      </w:r>
      <w:proofErr w:type="spellEnd"/>
    </w:p>
    <w:p w14:paraId="511B79A3" w14:textId="77777777" w:rsidR="0077631C" w:rsidRDefault="00000000">
      <w:pPr>
        <w:rPr>
          <w:rFonts w:ascii="Times New Roman" w:eastAsia="Times New Roman" w:hAnsi="Times New Roman" w:cs="Times New Roman"/>
        </w:rPr>
        <w:sectPr w:rsidR="0077631C">
          <w:footerReference w:type="even" r:id="rId7"/>
          <w:footerReference w:type="default" r:id="rId8"/>
          <w:footerReference w:type="first" r:id="rId9"/>
          <w:pgSz w:w="11906" w:h="16838"/>
          <w:pgMar w:top="1440" w:right="1440" w:bottom="1440" w:left="1440" w:header="0" w:footer="708" w:gutter="0"/>
          <w:pgNumType w:start="1"/>
          <w:cols w:space="720"/>
        </w:sectPr>
      </w:pPr>
      <w:r>
        <w:rPr>
          <w:rFonts w:ascii="Times New Roman" w:eastAsia="Times New Roman" w:hAnsi="Times New Roman" w:cs="Times New Roman"/>
        </w:rPr>
        <w:t xml:space="preserve">Nagy </w:t>
      </w:r>
      <w:proofErr w:type="spellStart"/>
      <w:r>
        <w:rPr>
          <w:rFonts w:ascii="Times New Roman" w:eastAsia="Times New Roman" w:hAnsi="Times New Roman" w:cs="Times New Roman"/>
        </w:rPr>
        <w:t>Zalán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Zsolt</w:t>
      </w:r>
      <w:proofErr w:type="spellEnd"/>
    </w:p>
    <w:p w14:paraId="26163816" w14:textId="77777777" w:rsidR="0077631C" w:rsidRDefault="00000000">
      <w:pPr>
        <w:keepNext/>
        <w:keepLines/>
        <w:pBdr>
          <w:top w:val="nil"/>
          <w:left w:val="nil"/>
          <w:bottom w:val="nil"/>
          <w:right w:val="nil"/>
          <w:between w:val="nil"/>
        </w:pBdr>
        <w:spacing w:before="240" w:after="0" w:line="259" w:lineRule="auto"/>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Contents</w:t>
      </w:r>
    </w:p>
    <w:sdt>
      <w:sdtPr>
        <w:id w:val="402176478"/>
        <w:docPartObj>
          <w:docPartGallery w:val="Table of Contents"/>
          <w:docPartUnique/>
        </w:docPartObj>
      </w:sdtPr>
      <w:sdtContent>
        <w:p w14:paraId="3D725D9D" w14:textId="77777777" w:rsidR="0077631C" w:rsidRDefault="00000000">
          <w:pPr>
            <w:pBdr>
              <w:top w:val="nil"/>
              <w:left w:val="nil"/>
              <w:bottom w:val="nil"/>
              <w:right w:val="nil"/>
              <w:between w:val="nil"/>
            </w:pBdr>
            <w:tabs>
              <w:tab w:val="right" w:leader="dot" w:pos="9016"/>
            </w:tabs>
            <w:spacing w:after="100"/>
            <w:rPr>
              <w:rFonts w:ascii="Times New Roman" w:eastAsia="Times New Roman" w:hAnsi="Times New Roman" w:cs="Times New Roman"/>
              <w:color w:val="000000"/>
            </w:rPr>
          </w:pPr>
          <w:r>
            <w:fldChar w:fldCharType="begin"/>
          </w:r>
          <w:r>
            <w:instrText xml:space="preserve"> TOC \h \u \z \t "Heading 1,1,Heading 2,2,Heading 3,3,"</w:instrText>
          </w:r>
          <w:r>
            <w:fldChar w:fldCharType="separate"/>
          </w:r>
          <w:hyperlink w:anchor="_vk5b42jtswys">
            <w:r>
              <w:rPr>
                <w:rFonts w:ascii="Times New Roman" w:eastAsia="Times New Roman" w:hAnsi="Times New Roman" w:cs="Times New Roman"/>
                <w:color w:val="000000"/>
              </w:rPr>
              <w:t>Introduction</w:t>
            </w:r>
            <w:r>
              <w:rPr>
                <w:rFonts w:ascii="Times New Roman" w:eastAsia="Times New Roman" w:hAnsi="Times New Roman" w:cs="Times New Roman"/>
                <w:color w:val="000000"/>
              </w:rPr>
              <w:tab/>
              <w:t>3</w:t>
            </w:r>
          </w:hyperlink>
        </w:p>
        <w:p w14:paraId="677E1DA9" w14:textId="77777777" w:rsidR="0077631C" w:rsidRDefault="00000000">
          <w:pPr>
            <w:pBdr>
              <w:top w:val="nil"/>
              <w:left w:val="nil"/>
              <w:bottom w:val="nil"/>
              <w:right w:val="nil"/>
              <w:between w:val="nil"/>
            </w:pBdr>
            <w:tabs>
              <w:tab w:val="right" w:leader="dot" w:pos="9016"/>
            </w:tabs>
            <w:spacing w:after="100"/>
            <w:rPr>
              <w:rFonts w:ascii="Times New Roman" w:eastAsia="Times New Roman" w:hAnsi="Times New Roman" w:cs="Times New Roman"/>
              <w:color w:val="000000"/>
            </w:rPr>
          </w:pPr>
          <w:hyperlink w:anchor="_21c0v6v1iyap">
            <w:r>
              <w:rPr>
                <w:rFonts w:ascii="Times New Roman" w:eastAsia="Times New Roman" w:hAnsi="Times New Roman" w:cs="Times New Roman"/>
                <w:color w:val="000000"/>
              </w:rPr>
              <w:t>Literature Review</w:t>
            </w:r>
            <w:r>
              <w:rPr>
                <w:rFonts w:ascii="Times New Roman" w:eastAsia="Times New Roman" w:hAnsi="Times New Roman" w:cs="Times New Roman"/>
                <w:color w:val="000000"/>
              </w:rPr>
              <w:tab/>
              <w:t>4</w:t>
            </w:r>
          </w:hyperlink>
        </w:p>
        <w:p w14:paraId="6C44BD20" w14:textId="77777777" w:rsidR="0077631C" w:rsidRDefault="00000000">
          <w:pPr>
            <w:pBdr>
              <w:top w:val="nil"/>
              <w:left w:val="nil"/>
              <w:bottom w:val="nil"/>
              <w:right w:val="nil"/>
              <w:between w:val="nil"/>
            </w:pBdr>
            <w:tabs>
              <w:tab w:val="right" w:leader="dot" w:pos="9016"/>
            </w:tabs>
            <w:spacing w:after="100"/>
            <w:ind w:left="240"/>
            <w:rPr>
              <w:rFonts w:ascii="Times New Roman" w:eastAsia="Times New Roman" w:hAnsi="Times New Roman" w:cs="Times New Roman"/>
              <w:color w:val="000000"/>
            </w:rPr>
          </w:pPr>
          <w:hyperlink w:anchor="_gojd0s7q60dr">
            <w:r>
              <w:rPr>
                <w:rFonts w:ascii="Times New Roman" w:eastAsia="Times New Roman" w:hAnsi="Times New Roman" w:cs="Times New Roman"/>
                <w:color w:val="000000"/>
              </w:rPr>
              <w:t>A, Previous research in context</w:t>
            </w:r>
            <w:r>
              <w:rPr>
                <w:rFonts w:ascii="Times New Roman" w:eastAsia="Times New Roman" w:hAnsi="Times New Roman" w:cs="Times New Roman"/>
                <w:color w:val="000000"/>
              </w:rPr>
              <w:tab/>
              <w:t>4</w:t>
            </w:r>
          </w:hyperlink>
        </w:p>
        <w:p w14:paraId="24186193" w14:textId="77777777" w:rsidR="0077631C" w:rsidRDefault="00000000">
          <w:pPr>
            <w:pBdr>
              <w:top w:val="nil"/>
              <w:left w:val="nil"/>
              <w:bottom w:val="nil"/>
              <w:right w:val="nil"/>
              <w:between w:val="nil"/>
            </w:pBdr>
            <w:tabs>
              <w:tab w:val="right" w:leader="dot" w:pos="9016"/>
            </w:tabs>
            <w:spacing w:after="100"/>
            <w:ind w:left="240"/>
            <w:rPr>
              <w:rFonts w:ascii="Times New Roman" w:eastAsia="Times New Roman" w:hAnsi="Times New Roman" w:cs="Times New Roman"/>
              <w:color w:val="000000"/>
            </w:rPr>
          </w:pPr>
          <w:hyperlink w:anchor="_5a7w8ycq8nca">
            <w:r>
              <w:rPr>
                <w:rFonts w:ascii="Times New Roman" w:eastAsia="Times New Roman" w:hAnsi="Times New Roman" w:cs="Times New Roman"/>
                <w:color w:val="000000"/>
              </w:rPr>
              <w:t>B, Methodological literature: Louvain and Infomap</w:t>
            </w:r>
            <w:r>
              <w:rPr>
                <w:rFonts w:ascii="Times New Roman" w:eastAsia="Times New Roman" w:hAnsi="Times New Roman" w:cs="Times New Roman"/>
                <w:color w:val="000000"/>
              </w:rPr>
              <w:tab/>
              <w:t>5</w:t>
            </w:r>
          </w:hyperlink>
        </w:p>
        <w:p w14:paraId="5663FC13" w14:textId="77777777" w:rsidR="0077631C" w:rsidRDefault="00000000">
          <w:pPr>
            <w:pBdr>
              <w:top w:val="nil"/>
              <w:left w:val="nil"/>
              <w:bottom w:val="nil"/>
              <w:right w:val="nil"/>
              <w:between w:val="nil"/>
            </w:pBdr>
            <w:tabs>
              <w:tab w:val="right" w:leader="dot" w:pos="9016"/>
            </w:tabs>
            <w:spacing w:after="100"/>
            <w:rPr>
              <w:rFonts w:ascii="Times New Roman" w:eastAsia="Times New Roman" w:hAnsi="Times New Roman" w:cs="Times New Roman"/>
              <w:color w:val="000000"/>
            </w:rPr>
          </w:pPr>
          <w:hyperlink w:anchor="_mjr303ja9zxq">
            <w:r>
              <w:rPr>
                <w:rFonts w:ascii="Times New Roman" w:eastAsia="Times New Roman" w:hAnsi="Times New Roman" w:cs="Times New Roman"/>
                <w:color w:val="000000"/>
              </w:rPr>
              <w:t>Data</w:t>
            </w:r>
            <w:r>
              <w:rPr>
                <w:rFonts w:ascii="Times New Roman" w:eastAsia="Times New Roman" w:hAnsi="Times New Roman" w:cs="Times New Roman"/>
                <w:color w:val="000000"/>
              </w:rPr>
              <w:tab/>
              <w:t>6</w:t>
            </w:r>
          </w:hyperlink>
        </w:p>
        <w:p w14:paraId="54CA3D2B" w14:textId="77777777" w:rsidR="0077631C" w:rsidRDefault="00000000">
          <w:pPr>
            <w:pBdr>
              <w:top w:val="nil"/>
              <w:left w:val="nil"/>
              <w:bottom w:val="nil"/>
              <w:right w:val="nil"/>
              <w:between w:val="nil"/>
            </w:pBdr>
            <w:tabs>
              <w:tab w:val="right" w:leader="dot" w:pos="9016"/>
            </w:tabs>
            <w:spacing w:after="100"/>
            <w:rPr>
              <w:rFonts w:ascii="Times New Roman" w:eastAsia="Times New Roman" w:hAnsi="Times New Roman" w:cs="Times New Roman"/>
              <w:color w:val="000000"/>
            </w:rPr>
          </w:pPr>
          <w:hyperlink w:anchor="_krxdce8mefgn">
            <w:r>
              <w:rPr>
                <w:rFonts w:ascii="Times New Roman" w:eastAsia="Times New Roman" w:hAnsi="Times New Roman" w:cs="Times New Roman"/>
                <w:color w:val="000000"/>
              </w:rPr>
              <w:t>Methodology</w:t>
            </w:r>
            <w:r>
              <w:rPr>
                <w:rFonts w:ascii="Times New Roman" w:eastAsia="Times New Roman" w:hAnsi="Times New Roman" w:cs="Times New Roman"/>
                <w:color w:val="000000"/>
              </w:rPr>
              <w:tab/>
              <w:t>6</w:t>
            </w:r>
          </w:hyperlink>
        </w:p>
        <w:p w14:paraId="6D997369" w14:textId="77777777" w:rsidR="0077631C" w:rsidRDefault="00000000">
          <w:pPr>
            <w:pBdr>
              <w:top w:val="nil"/>
              <w:left w:val="nil"/>
              <w:bottom w:val="nil"/>
              <w:right w:val="nil"/>
              <w:between w:val="nil"/>
            </w:pBdr>
            <w:tabs>
              <w:tab w:val="right" w:leader="dot" w:pos="9016"/>
            </w:tabs>
            <w:spacing w:after="100"/>
            <w:rPr>
              <w:rFonts w:ascii="Times New Roman" w:eastAsia="Times New Roman" w:hAnsi="Times New Roman" w:cs="Times New Roman"/>
              <w:color w:val="000000"/>
            </w:rPr>
          </w:pPr>
          <w:hyperlink w:anchor="_6gqoiy3rwtu9">
            <w:r>
              <w:rPr>
                <w:rFonts w:ascii="Times New Roman" w:eastAsia="Times New Roman" w:hAnsi="Times New Roman" w:cs="Times New Roman"/>
                <w:color w:val="000000"/>
              </w:rPr>
              <w:t>Results</w:t>
            </w:r>
            <w:r>
              <w:rPr>
                <w:rFonts w:ascii="Times New Roman" w:eastAsia="Times New Roman" w:hAnsi="Times New Roman" w:cs="Times New Roman"/>
                <w:color w:val="000000"/>
              </w:rPr>
              <w:tab/>
              <w:t>8</w:t>
            </w:r>
          </w:hyperlink>
        </w:p>
        <w:p w14:paraId="32ED665A" w14:textId="77777777" w:rsidR="0077631C" w:rsidRDefault="00000000">
          <w:pPr>
            <w:pBdr>
              <w:top w:val="nil"/>
              <w:left w:val="nil"/>
              <w:bottom w:val="nil"/>
              <w:right w:val="nil"/>
              <w:between w:val="nil"/>
            </w:pBdr>
            <w:tabs>
              <w:tab w:val="right" w:leader="dot" w:pos="9016"/>
            </w:tabs>
            <w:spacing w:after="100"/>
            <w:rPr>
              <w:color w:val="000000"/>
            </w:rPr>
          </w:pPr>
          <w:hyperlink w:anchor="_qy245vyky3pm">
            <w:r>
              <w:rPr>
                <w:rFonts w:ascii="Times New Roman" w:eastAsia="Times New Roman" w:hAnsi="Times New Roman" w:cs="Times New Roman"/>
                <w:color w:val="000000"/>
              </w:rPr>
              <w:t>Findings</w:t>
            </w:r>
            <w:r>
              <w:rPr>
                <w:rFonts w:ascii="Times New Roman" w:eastAsia="Times New Roman" w:hAnsi="Times New Roman" w:cs="Times New Roman"/>
                <w:color w:val="000000"/>
              </w:rPr>
              <w:tab/>
              <w:t>8</w:t>
            </w:r>
          </w:hyperlink>
        </w:p>
        <w:p w14:paraId="587C510D" w14:textId="77777777" w:rsidR="0077631C" w:rsidRDefault="00000000">
          <w:r>
            <w:fldChar w:fldCharType="end"/>
          </w:r>
        </w:p>
      </w:sdtContent>
    </w:sdt>
    <w:p w14:paraId="343E4F11" w14:textId="77777777" w:rsidR="0077631C" w:rsidRDefault="00000000">
      <w:pPr>
        <w:rPr>
          <w:rFonts w:ascii="Times New Roman" w:eastAsia="Times New Roman" w:hAnsi="Times New Roman" w:cs="Times New Roman"/>
        </w:rPr>
      </w:pPr>
      <w:r>
        <w:br w:type="page"/>
      </w:r>
    </w:p>
    <w:p w14:paraId="556C15DE" w14:textId="77777777" w:rsidR="0077631C" w:rsidRDefault="00000000">
      <w:pPr>
        <w:pStyle w:val="Heading1"/>
        <w:spacing w:before="0"/>
      </w:pPr>
      <w:bookmarkStart w:id="0" w:name="_vk5b42jtswys" w:colFirst="0" w:colLast="0"/>
      <w:bookmarkEnd w:id="0"/>
      <w:r>
        <w:lastRenderedPageBreak/>
        <w:t>Introduction</w:t>
      </w:r>
    </w:p>
    <w:p w14:paraId="2E8FC58F" w14:textId="7A4551CA"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Community detection has long been a significant area of research in modern network science </w:t>
      </w:r>
      <w:proofErr w:type="gramStart"/>
      <w:r>
        <w:rPr>
          <w:rFonts w:ascii="Times New Roman" w:eastAsia="Times New Roman" w:hAnsi="Times New Roman" w:cs="Times New Roman"/>
        </w:rPr>
        <w:t>in order to</w:t>
      </w:r>
      <w:proofErr w:type="gramEnd"/>
      <w:r>
        <w:rPr>
          <w:rFonts w:ascii="Times New Roman" w:eastAsia="Times New Roman" w:hAnsi="Times New Roman" w:cs="Times New Roman"/>
        </w:rPr>
        <w:t xml:space="preserve"> broaden the understanding of complex systems, via visualizing and interpreting its community structure or clustering </w:t>
      </w:r>
      <w:sdt>
        <w:sdtPr>
          <w:rPr>
            <w:rFonts w:ascii="Times New Roman" w:eastAsia="Times New Roman" w:hAnsi="Times New Roman" w:cs="Times New Roman"/>
          </w:rPr>
          <w:id w:val="2072837179"/>
          <w:citation/>
        </w:sdtPr>
        <w:sdtContent>
          <w:r w:rsidR="00B14522">
            <w:rPr>
              <w:rFonts w:ascii="Times New Roman" w:eastAsia="Times New Roman" w:hAnsi="Times New Roman" w:cs="Times New Roman"/>
            </w:rPr>
            <w:fldChar w:fldCharType="begin"/>
          </w:r>
          <w:r w:rsidR="00B14522">
            <w:rPr>
              <w:rFonts w:ascii="Times New Roman" w:eastAsia="Times New Roman" w:hAnsi="Times New Roman" w:cs="Times New Roman"/>
              <w:lang w:val="hu-HU"/>
            </w:rPr>
            <w:instrText xml:space="preserve"> CITATION For10 \l 1038 </w:instrText>
          </w:r>
          <w:r w:rsidR="00B14522">
            <w:rPr>
              <w:rFonts w:ascii="Times New Roman" w:eastAsia="Times New Roman" w:hAnsi="Times New Roman" w:cs="Times New Roman"/>
            </w:rPr>
            <w:fldChar w:fldCharType="separate"/>
          </w:r>
          <w:r w:rsidR="00B14522" w:rsidRPr="00B14522">
            <w:rPr>
              <w:rFonts w:ascii="Times New Roman" w:eastAsia="Times New Roman" w:hAnsi="Times New Roman" w:cs="Times New Roman"/>
              <w:noProof/>
              <w:lang w:val="hu-HU"/>
            </w:rPr>
            <w:t>(Fortunato, 2010)</w:t>
          </w:r>
          <w:r w:rsidR="00B14522">
            <w:rPr>
              <w:rFonts w:ascii="Times New Roman" w:eastAsia="Times New Roman" w:hAnsi="Times New Roman" w:cs="Times New Roman"/>
            </w:rPr>
            <w:fldChar w:fldCharType="end"/>
          </w:r>
        </w:sdtContent>
      </w:sdt>
      <w:r>
        <w:rPr>
          <w:rFonts w:ascii="Times New Roman" w:eastAsia="Times New Roman" w:hAnsi="Times New Roman" w:cs="Times New Roman"/>
        </w:rPr>
        <w:t xml:space="preserve">.  Communities, </w:t>
      </w:r>
      <w:proofErr w:type="gramStart"/>
      <w:r>
        <w:rPr>
          <w:rFonts w:ascii="Times New Roman" w:eastAsia="Times New Roman" w:hAnsi="Times New Roman" w:cs="Times New Roman"/>
        </w:rPr>
        <w:t>by definition are</w:t>
      </w:r>
      <w:proofErr w:type="gramEnd"/>
      <w:r>
        <w:rPr>
          <w:rFonts w:ascii="Times New Roman" w:eastAsia="Times New Roman" w:hAnsi="Times New Roman" w:cs="Times New Roman"/>
        </w:rPr>
        <w:t xml:space="preserve"> groups of densely connected nodes, forming subgraphs, which are generally less connected to the other parts of specific network. They are not necessarily considered as components due to this lack of global connectivity. Community detection aims to partition the network into these internally cohesive and externally sparse subgraphs, revealing hidden structural or functional organization. </w:t>
      </w:r>
    </w:p>
    <w:p w14:paraId="5C9AC59B" w14:textId="77777777"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Urban mobility analysis is the study of how people move within cities using data-driven, spatial, and temporal methods. It is often used to examine the patterns, structures, and possible determinants of individual movement. These systems, combined with the development of technology, produces massive volumes of high-resolution data – information for tracing location – that offer unprecedented opportunities to investigate how people navigate areas and reveal the above-mentioned trends through space and time. </w:t>
      </w:r>
    </w:p>
    <w:p w14:paraId="389BB02A" w14:textId="77777777"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Among these sources, New York City’s Citi Bike service has emerged as a valuable proxy for urban mobility, providing millions of documented (time intervals, origin and destination coordinates) bicycle trips each month. New York City is the largest city by population of the United States with – based on most recent estimations – an approximately 8,5 million people, and one of most densely populated cities in the world with its 29 thousand people per square mile. It has also one of the most complex transportation systems in the world, which could all contribute to a highly interconnected and rich network of data points. </w:t>
      </w:r>
    </w:p>
    <w:p w14:paraId="47C20177" w14:textId="77777777"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There are many possible approaches for such research, many focusing on either spatial or temporal differences of urban movements, using various data and methodologies. As for the purpose of our scrutiny, we are determined to compose our models around the latter time dimension: </w:t>
      </w:r>
      <w:r>
        <w:rPr>
          <w:rFonts w:ascii="Times New Roman" w:eastAsia="Times New Roman" w:hAnsi="Times New Roman" w:cs="Times New Roman"/>
          <w:b/>
          <w:bCs/>
        </w:rPr>
        <w:t>investigating whether community structures and mobility patterns are different for weekdays and weekends, additionally throughout specific periods of the day – morning, afternoon and evening.</w:t>
      </w:r>
      <w:r>
        <w:rPr>
          <w:rFonts w:ascii="Times New Roman" w:eastAsia="Times New Roman" w:hAnsi="Times New Roman" w:cs="Times New Roman"/>
        </w:rPr>
        <w:t xml:space="preserve"> Studying these temporal dynamics, those might reveal how communities in general emerge, dissolve and evolve throughout the week, and throughout a day. Additionally, as part of this observation, we are using two of the most popular community detection methods, Louvain and </w:t>
      </w: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frameworks, on one hand facilitating ourselves to capture different aspects of the structure, on the other hand, to deepen our </w:t>
      </w:r>
      <w:r>
        <w:rPr>
          <w:rFonts w:ascii="Times New Roman" w:eastAsia="Times New Roman" w:hAnsi="Times New Roman" w:cs="Times New Roman"/>
        </w:rPr>
        <w:lastRenderedPageBreak/>
        <w:t>understanding of the strengths and limitations of each method throughout a systematic comparison.</w:t>
      </w:r>
    </w:p>
    <w:p w14:paraId="78BF13A2" w14:textId="77777777" w:rsidR="0077631C" w:rsidRDefault="00000000">
      <w:pPr>
        <w:pStyle w:val="Heading1"/>
      </w:pPr>
      <w:bookmarkStart w:id="1" w:name="_21c0v6v1iyap" w:colFirst="0" w:colLast="0"/>
      <w:bookmarkEnd w:id="1"/>
      <w:r>
        <w:t>Literature Review</w:t>
      </w:r>
    </w:p>
    <w:p w14:paraId="55613326" w14:textId="77777777" w:rsidR="0077631C" w:rsidRDefault="00000000">
      <w:pPr>
        <w:pStyle w:val="Heading2"/>
      </w:pPr>
      <w:bookmarkStart w:id="2" w:name="_gojd0s7q60dr" w:colFirst="0" w:colLast="0"/>
      <w:bookmarkEnd w:id="2"/>
      <w:proofErr w:type="gramStart"/>
      <w:r>
        <w:t>A,</w:t>
      </w:r>
      <w:proofErr w:type="gramEnd"/>
      <w:r>
        <w:t xml:space="preserve"> Previous research in context</w:t>
      </w:r>
    </w:p>
    <w:p w14:paraId="0CF4180B" w14:textId="77777777"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During the previous years, </w:t>
      </w:r>
      <w:proofErr w:type="gramStart"/>
      <w:r>
        <w:rPr>
          <w:rFonts w:ascii="Times New Roman" w:eastAsia="Times New Roman" w:hAnsi="Times New Roman" w:cs="Times New Roman"/>
        </w:rPr>
        <w:t>many</w:t>
      </w:r>
      <w:proofErr w:type="gramEnd"/>
      <w:r>
        <w:rPr>
          <w:rFonts w:ascii="Times New Roman" w:eastAsia="Times New Roman" w:hAnsi="Times New Roman" w:cs="Times New Roman"/>
        </w:rPr>
        <w:t xml:space="preserve"> research were carried out and socioeconomic papers were published analysing urban mobility and </w:t>
      </w:r>
      <w:proofErr w:type="spellStart"/>
      <w:r>
        <w:rPr>
          <w:rFonts w:ascii="Times New Roman" w:eastAsia="Times New Roman" w:hAnsi="Times New Roman" w:cs="Times New Roman"/>
        </w:rPr>
        <w:t>spatio</w:t>
      </w:r>
      <w:proofErr w:type="spellEnd"/>
      <w:r>
        <w:rPr>
          <w:rFonts w:ascii="Times New Roman" w:eastAsia="Times New Roman" w:hAnsi="Times New Roman" w:cs="Times New Roman"/>
        </w:rPr>
        <w:t xml:space="preserve">-temporal differences, using public-transport, mobile GPS or other data sources, contributing to the optimization of urban planning and transportation engineering. As for setting the basis of our examination, we were looking for such literature, </w:t>
      </w:r>
      <w:proofErr w:type="gramStart"/>
      <w:r>
        <w:rPr>
          <w:rFonts w:ascii="Times New Roman" w:eastAsia="Times New Roman" w:hAnsi="Times New Roman" w:cs="Times New Roman"/>
        </w:rPr>
        <w:t>in order to</w:t>
      </w:r>
      <w:proofErr w:type="gramEnd"/>
      <w:r>
        <w:rPr>
          <w:rFonts w:ascii="Times New Roman" w:eastAsia="Times New Roman" w:hAnsi="Times New Roman" w:cs="Times New Roman"/>
        </w:rPr>
        <w:t xml:space="preserve"> better understand the general commuting behaviour of individuals in big cities and be able formulate our expectations accordingly.</w:t>
      </w:r>
    </w:p>
    <w:p w14:paraId="0B4B0C4E" w14:textId="6B14EFEF"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Kinoshita et al. (2024) studied exactly those </w:t>
      </w:r>
      <w:proofErr w:type="spellStart"/>
      <w:r>
        <w:rPr>
          <w:rFonts w:ascii="Times New Roman" w:eastAsia="Times New Roman" w:hAnsi="Times New Roman" w:cs="Times New Roman"/>
        </w:rPr>
        <w:t>spatio</w:t>
      </w:r>
      <w:proofErr w:type="spellEnd"/>
      <w:r>
        <w:rPr>
          <w:rFonts w:ascii="Times New Roman" w:eastAsia="Times New Roman" w:hAnsi="Times New Roman" w:cs="Times New Roman"/>
        </w:rPr>
        <w:t xml:space="preserve">-temporal patterns in bike sharing system usage across six major cities including New York </w:t>
      </w:r>
      <w:sdt>
        <w:sdtPr>
          <w:rPr>
            <w:rFonts w:ascii="Times New Roman" w:eastAsia="Times New Roman" w:hAnsi="Times New Roman" w:cs="Times New Roman"/>
          </w:rPr>
          <w:id w:val="1646695651"/>
          <w:citation/>
        </w:sdtPr>
        <w:sdtContent>
          <w:r w:rsidR="00B14522">
            <w:rPr>
              <w:rFonts w:ascii="Times New Roman" w:eastAsia="Times New Roman" w:hAnsi="Times New Roman" w:cs="Times New Roman"/>
            </w:rPr>
            <w:fldChar w:fldCharType="begin"/>
          </w:r>
          <w:r w:rsidR="00B14522">
            <w:rPr>
              <w:rFonts w:ascii="Times New Roman" w:eastAsia="Times New Roman" w:hAnsi="Times New Roman" w:cs="Times New Roman"/>
              <w:lang w:val="hu-HU"/>
            </w:rPr>
            <w:instrText xml:space="preserve"> CITATION Kin24 \l 1038 </w:instrText>
          </w:r>
          <w:r w:rsidR="00B14522">
            <w:rPr>
              <w:rFonts w:ascii="Times New Roman" w:eastAsia="Times New Roman" w:hAnsi="Times New Roman" w:cs="Times New Roman"/>
            </w:rPr>
            <w:fldChar w:fldCharType="separate"/>
          </w:r>
          <w:r w:rsidR="00B14522" w:rsidRPr="00B14522">
            <w:rPr>
              <w:rFonts w:ascii="Times New Roman" w:eastAsia="Times New Roman" w:hAnsi="Times New Roman" w:cs="Times New Roman"/>
              <w:noProof/>
              <w:lang w:val="hu-HU"/>
            </w:rPr>
            <w:t>(Kinoshita, Bando, &amp; Sayama, 2024)</w:t>
          </w:r>
          <w:r w:rsidR="00B14522">
            <w:rPr>
              <w:rFonts w:ascii="Times New Roman" w:eastAsia="Times New Roman" w:hAnsi="Times New Roman" w:cs="Times New Roman"/>
            </w:rPr>
            <w:fldChar w:fldCharType="end"/>
          </w:r>
        </w:sdtContent>
      </w:sdt>
      <w:r>
        <w:rPr>
          <w:rFonts w:ascii="Times New Roman" w:eastAsia="Times New Roman" w:hAnsi="Times New Roman" w:cs="Times New Roman"/>
        </w:rPr>
        <w:t xml:space="preserve">. Using 30 days of data, they quantify weekday-weekend variability using Jensen-Shannon divergence and show strong, universal temporal rhythms: sharp morning and evening commute peaks on weekdays, contrasted with smoother, midday-oriented patterns on weekends, with Friday acting as a transitional hybrid. They further show that station usage rankings are surprisingly stable between weekdays and weekends in most cities, indicating persistent structural demand patterns despite temporal variation. Their approach, clustering days based on similarity, demonstrates that bike-sharing data naturally form meaningful temporal communities, even without explicit network-based methods. </w:t>
      </w:r>
    </w:p>
    <w:p w14:paraId="5923C98D" w14:textId="64B036C2"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We also identified a paper that aligns closely with the core questions of our research. The most recent case study of Wen et al. (2025) provides a detailed examination of mobility patterns in Manhattan, New York City’s Citi Bike system, focusing specifically on how travel flows and community structures vary across multiple time periods within August </w:t>
      </w:r>
      <w:sdt>
        <w:sdtPr>
          <w:rPr>
            <w:rFonts w:ascii="Times New Roman" w:eastAsia="Times New Roman" w:hAnsi="Times New Roman" w:cs="Times New Roman"/>
          </w:rPr>
          <w:id w:val="835498771"/>
          <w:citation/>
        </w:sdtPr>
        <w:sdtContent>
          <w:r w:rsidR="00B14522">
            <w:rPr>
              <w:rFonts w:ascii="Times New Roman" w:eastAsia="Times New Roman" w:hAnsi="Times New Roman" w:cs="Times New Roman"/>
            </w:rPr>
            <w:fldChar w:fldCharType="begin"/>
          </w:r>
          <w:r w:rsidR="00B14522">
            <w:rPr>
              <w:rFonts w:ascii="Times New Roman" w:eastAsia="Times New Roman" w:hAnsi="Times New Roman" w:cs="Times New Roman"/>
              <w:lang w:val="hu-HU"/>
            </w:rPr>
            <w:instrText xml:space="preserve"> CITATION Wen25 \l 1038 </w:instrText>
          </w:r>
          <w:r w:rsidR="00B14522">
            <w:rPr>
              <w:rFonts w:ascii="Times New Roman" w:eastAsia="Times New Roman" w:hAnsi="Times New Roman" w:cs="Times New Roman"/>
            </w:rPr>
            <w:fldChar w:fldCharType="separate"/>
          </w:r>
          <w:r w:rsidR="00B14522" w:rsidRPr="00B14522">
            <w:rPr>
              <w:rFonts w:ascii="Times New Roman" w:eastAsia="Times New Roman" w:hAnsi="Times New Roman" w:cs="Times New Roman"/>
              <w:noProof/>
              <w:lang w:val="hu-HU"/>
            </w:rPr>
            <w:t>(Wen, Tian, &amp; Wu, 2025)</w:t>
          </w:r>
          <w:r w:rsidR="00B14522">
            <w:rPr>
              <w:rFonts w:ascii="Times New Roman" w:eastAsia="Times New Roman" w:hAnsi="Times New Roman" w:cs="Times New Roman"/>
            </w:rPr>
            <w:fldChar w:fldCharType="end"/>
          </w:r>
        </w:sdtContent>
      </w:sdt>
      <w:r w:rsidR="00B14522">
        <w:rPr>
          <w:rFonts w:ascii="Times New Roman" w:eastAsia="Times New Roman" w:hAnsi="Times New Roman" w:cs="Times New Roman"/>
        </w:rPr>
        <w:t xml:space="preserve">. </w:t>
      </w:r>
      <w:r>
        <w:rPr>
          <w:rFonts w:ascii="Times New Roman" w:eastAsia="Times New Roman" w:hAnsi="Times New Roman" w:cs="Times New Roman"/>
        </w:rPr>
        <w:t>Using complex network theory, the authors construct origin-destination flow networks and apply the Louvain algorithm to identify clusters of strongly interconnected neighbourhoods. Their analysis reveals clear temporal differences: early-, mid-, and late-August show shifting hotspots concentrated around Lower- and Midtown Manhattan, with variations driven by seasonal factors, tourism intensity, land-use patterns, and the transition from summer to regular commuting routines. The study finds that modularity, node strength, and origin-destination flow distributions evolve across these periods, indicating changes in both commuting and tourism-driven travel demand.</w:t>
      </w:r>
    </w:p>
    <w:p w14:paraId="4CF80F6C" w14:textId="77777777" w:rsidR="0077631C" w:rsidRDefault="00000000">
      <w:pPr>
        <w:pStyle w:val="Heading2"/>
      </w:pPr>
      <w:bookmarkStart w:id="3" w:name="_5a7w8ycq8nca" w:colFirst="0" w:colLast="0"/>
      <w:bookmarkEnd w:id="3"/>
      <w:r>
        <w:lastRenderedPageBreak/>
        <w:t xml:space="preserve">B, Methodological literature: Louvain and </w:t>
      </w:r>
      <w:proofErr w:type="spellStart"/>
      <w:r>
        <w:t>Infomap</w:t>
      </w:r>
      <w:proofErr w:type="spellEnd"/>
    </w:p>
    <w:p w14:paraId="63747CF8" w14:textId="29896862"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The Louvain method is a community detection algorithm designed to uncover densely connected groups within large-scale networks. Its purpose is to efficiently partition nodes by iteratively performing two steps: a local modularity optimization phase, where each node is reassigned to the neighbouring community that yields the greatest positive modularity gain, and a coarsening phase, where these discovered communities are aggregated into one node to form a reduced network, after which the process repeats until no further improvement is possible. This enables the algorithm to scale nearly linearly while still identifying meaningful structural modules in massive datasets</w:t>
      </w:r>
      <w:r w:rsidR="00B14522">
        <w:rPr>
          <w:rFonts w:ascii="Times New Roman" w:eastAsia="Times New Roman" w:hAnsi="Times New Roman" w:cs="Times New Roman"/>
        </w:rPr>
        <w:t xml:space="preserve"> </w:t>
      </w:r>
      <w:sdt>
        <w:sdtPr>
          <w:rPr>
            <w:rFonts w:ascii="Times New Roman" w:eastAsia="Times New Roman" w:hAnsi="Times New Roman" w:cs="Times New Roman"/>
          </w:rPr>
          <w:id w:val="1723856233"/>
          <w:citation/>
        </w:sdtPr>
        <w:sdtContent>
          <w:r w:rsidR="00B14522">
            <w:rPr>
              <w:rFonts w:ascii="Times New Roman" w:eastAsia="Times New Roman" w:hAnsi="Times New Roman" w:cs="Times New Roman"/>
            </w:rPr>
            <w:fldChar w:fldCharType="begin"/>
          </w:r>
          <w:r w:rsidR="00B14522">
            <w:rPr>
              <w:rFonts w:ascii="Times New Roman" w:eastAsia="Times New Roman" w:hAnsi="Times New Roman" w:cs="Times New Roman"/>
              <w:lang w:val="hu-HU"/>
            </w:rPr>
            <w:instrText xml:space="preserve"> CITATION Blo08 \l 1038 </w:instrText>
          </w:r>
          <w:r w:rsidR="00B14522">
            <w:rPr>
              <w:rFonts w:ascii="Times New Roman" w:eastAsia="Times New Roman" w:hAnsi="Times New Roman" w:cs="Times New Roman"/>
            </w:rPr>
            <w:fldChar w:fldCharType="separate"/>
          </w:r>
          <w:r w:rsidR="00B14522" w:rsidRPr="00B14522">
            <w:rPr>
              <w:rFonts w:ascii="Times New Roman" w:eastAsia="Times New Roman" w:hAnsi="Times New Roman" w:cs="Times New Roman"/>
              <w:noProof/>
              <w:lang w:val="hu-HU"/>
            </w:rPr>
            <w:t>(Blondel, Guillaume, Lambiotte, &amp; Lefebvre, 2008)</w:t>
          </w:r>
          <w:r w:rsidR="00B14522">
            <w:rPr>
              <w:rFonts w:ascii="Times New Roman" w:eastAsia="Times New Roman" w:hAnsi="Times New Roman" w:cs="Times New Roman"/>
            </w:rPr>
            <w:fldChar w:fldCharType="end"/>
          </w:r>
        </w:sdtContent>
      </w:sdt>
      <w:r>
        <w:rPr>
          <w:rFonts w:ascii="Times New Roman" w:eastAsia="Times New Roman" w:hAnsi="Times New Roman" w:cs="Times New Roman"/>
        </w:rPr>
        <w:t>. Because Citi Bike networks consist of station-to-station flows whose structure shifts across hours, days and seasons, the Louvain method is particularly valuable for detecting cohesive mobility regions at each time slice and for comparing how these clusters evolve. In our research, using Louvain on NYC Citi Bike networks allows us to identify mobility communities and quantify how commuting reshapes the city’s functional geography over time.</w:t>
      </w:r>
    </w:p>
    <w:p w14:paraId="06EB3507" w14:textId="18B40157" w:rsidR="0077631C" w:rsidRDefault="00000000">
      <w:pPr>
        <w:spacing w:line="360" w:lineRule="auto"/>
        <w:jc w:val="both"/>
        <w:rPr>
          <w:rFonts w:ascii="Times New Roman" w:eastAsia="Times New Roman" w:hAnsi="Times New Roman" w:cs="Times New Roman"/>
        </w:rPr>
      </w:pP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takes a different approach by detecting communities based on flows rather than modularity: it models a random walk on the network and finds the partition that most efficiently compresses this movement using the map equation. Instead of looking only at dense subgraphs, it identifies groups where flows circulate for long periods, which is crucial for directed, weighted mobility systems like bike trips. Algorithmically it uses a multi-phase search to minimize the flow description length and uncover multi-level structures </w:t>
      </w:r>
      <w:sdt>
        <w:sdtPr>
          <w:rPr>
            <w:rFonts w:ascii="Times New Roman" w:eastAsia="Times New Roman" w:hAnsi="Times New Roman" w:cs="Times New Roman"/>
          </w:rPr>
          <w:id w:val="254947954"/>
          <w:citation/>
        </w:sdtPr>
        <w:sdtContent>
          <w:r w:rsidR="00B14522">
            <w:rPr>
              <w:rFonts w:ascii="Times New Roman" w:eastAsia="Times New Roman" w:hAnsi="Times New Roman" w:cs="Times New Roman"/>
            </w:rPr>
            <w:fldChar w:fldCharType="begin"/>
          </w:r>
          <w:r w:rsidR="00B14522">
            <w:rPr>
              <w:rFonts w:ascii="Times New Roman" w:eastAsia="Times New Roman" w:hAnsi="Times New Roman" w:cs="Times New Roman"/>
              <w:lang w:val="hu-HU"/>
            </w:rPr>
            <w:instrText xml:space="preserve"> CITATION Jel23 \l 1038 </w:instrText>
          </w:r>
          <w:r w:rsidR="00B14522">
            <w:rPr>
              <w:rFonts w:ascii="Times New Roman" w:eastAsia="Times New Roman" w:hAnsi="Times New Roman" w:cs="Times New Roman"/>
            </w:rPr>
            <w:fldChar w:fldCharType="separate"/>
          </w:r>
          <w:r w:rsidR="00B14522" w:rsidRPr="00B14522">
            <w:rPr>
              <w:rFonts w:ascii="Times New Roman" w:eastAsia="Times New Roman" w:hAnsi="Times New Roman" w:cs="Times New Roman"/>
              <w:noProof/>
              <w:lang w:val="hu-HU"/>
            </w:rPr>
            <w:t>(Jelena Smiljanić, 2023)</w:t>
          </w:r>
          <w:r w:rsidR="00B14522">
            <w:rPr>
              <w:rFonts w:ascii="Times New Roman" w:eastAsia="Times New Roman" w:hAnsi="Times New Roman" w:cs="Times New Roman"/>
            </w:rPr>
            <w:fldChar w:fldCharType="end"/>
          </w:r>
        </w:sdtContent>
      </w:sdt>
      <w:r>
        <w:rPr>
          <w:rFonts w:ascii="Times New Roman" w:eastAsia="Times New Roman" w:hAnsi="Times New Roman" w:cs="Times New Roman"/>
        </w:rPr>
        <w:t xml:space="preserve">. In our NYC Citi Bike research, this makes </w:t>
      </w: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valuable for capturing directional travel patterns (e.g., morning vs. evening flows) and for revealing how mobility evolves across time slices, giving richer insight into temporal community dynamics than structure-only methods like Louvain.</w:t>
      </w:r>
    </w:p>
    <w:p w14:paraId="085DF57C" w14:textId="77777777" w:rsidR="0077631C" w:rsidRDefault="00000000">
      <w:pPr>
        <w:spacing w:line="360" w:lineRule="auto"/>
        <w:jc w:val="both"/>
      </w:pPr>
      <w:r>
        <w:rPr>
          <w:rFonts w:ascii="Times New Roman" w:eastAsia="Times New Roman" w:hAnsi="Times New Roman" w:cs="Times New Roman"/>
        </w:rPr>
        <w:t xml:space="preserve">While the Louvain method detects communities by maximizing modularity and therefore emphasizes structural density, </w:t>
      </w: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identifies communities by minimizing the map equation, capturing how flows realistically move through the network. Louvain is efficient and highlights broad structural clusters but cannot incorporate directionality, while </w:t>
      </w: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is more sensitive to directed and weighted flows, making it better suited for uncovering functional mobility regions shaped by commuter patterns and directional bike traffic. In the context of NYC Citi Bike, Louvain helps us reveal stable structural station groupings, whereas </w:t>
      </w: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uncovers the temporal and directional dynamics behind movement patterns. Using both methods allows us to obtain more thorough, complementary findings.</w:t>
      </w:r>
    </w:p>
    <w:p w14:paraId="179F4268" w14:textId="77777777" w:rsidR="0077631C" w:rsidRDefault="00000000">
      <w:pPr>
        <w:pStyle w:val="Heading1"/>
      </w:pPr>
      <w:bookmarkStart w:id="4" w:name="_mjr303ja9zxq" w:colFirst="0" w:colLast="0"/>
      <w:bookmarkEnd w:id="4"/>
      <w:r>
        <w:lastRenderedPageBreak/>
        <w:t>Data</w:t>
      </w:r>
    </w:p>
    <w:p w14:paraId="53C357A3" w14:textId="77777777"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data we have used throughout the analysis, as above mentioned was acquired from the official website of </w:t>
      </w:r>
      <w:proofErr w:type="spellStart"/>
      <w:r>
        <w:rPr>
          <w:rFonts w:ascii="Times New Roman" w:eastAsia="Times New Roman" w:hAnsi="Times New Roman" w:cs="Times New Roman"/>
        </w:rPr>
        <w:t>CitiBike</w:t>
      </w:r>
      <w:proofErr w:type="spellEnd"/>
      <w:r>
        <w:rPr>
          <w:rFonts w:ascii="Times New Roman" w:eastAsia="Times New Roman" w:hAnsi="Times New Roman" w:cs="Times New Roman"/>
        </w:rPr>
        <w:t xml:space="preserve">, where all the documented rides are publicly available in monthly frequency. Considering the purpose of the study, we have decided to use the latest available dataset of 2025 October, including around 4.7 million rides across New York City. </w:t>
      </w:r>
    </w:p>
    <w:p w14:paraId="0805E97A" w14:textId="77777777"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Every ride is distinguished with a unique ID, furthermore the dataset provides information on the membership status of the user (member of casual rider), bike type (electric or classic), exact date and time, and exact coordinates of origins and destinations of renting (including station names). The geographic coordinates are provided in the EPSG:4326 reference system, which corresponds to standard GPS coordinates and allows for direct spatial matching with official administrative boundary data.</w:t>
      </w:r>
    </w:p>
    <w:p w14:paraId="65DA97F4" w14:textId="77777777" w:rsidR="0077631C" w:rsidRDefault="00000000">
      <w:pPr>
        <w:pStyle w:val="Heading1"/>
      </w:pPr>
      <w:bookmarkStart w:id="5" w:name="_krxdce8mefgn" w:colFirst="0" w:colLast="0"/>
      <w:bookmarkEnd w:id="5"/>
      <w:r>
        <w:t>Methodology</w:t>
      </w:r>
    </w:p>
    <w:p w14:paraId="0E04530C" w14:textId="77777777"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Given the extremely large number of stations and the resulting complexity of a raw station-level network, the analysis was conducted at an aggregated spatial scale using New York City Community Districts. These districts are administrative sub-units of the five boroughs of New York City: Manhattan, Brooklyn, Queens, the Bronx, and Staten Island. Using the geographic coordinates of each station, a spatial join was performed to assign every start and end station to its corresponding community district. This step converted every individual trip into a district-to-district movement, thereby enabling the construction of manageable and interpretable spatial mobility networks. Stations with missing geographic coordinates were removed prior to the spatial matching to avoid misclassification.</w:t>
      </w:r>
    </w:p>
    <w:p w14:paraId="56F299F2" w14:textId="77777777"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To capture temporal heterogeneity in urban mobility, the dataset was further divided into multiple time-based subsets. Two main temporal dimensions were considered. First, trips were classified by time of day into a morning (06:00-10:59), afternoon (11:00-17:59) and evening periods (18:00-22:59) based on the ending time of each trip. Second, trips were categorized by day type into weekday (Monday–Friday) and weekend (Saturday–Sunday) observations. This classification resulted in separate datasets for morning, afternoon, evening, weekday, and weekend traffic, allowing the network structure to be examined under distinct commuting and leisure-related mobility regimes.</w:t>
      </w:r>
    </w:p>
    <w:p w14:paraId="3408C7A9" w14:textId="77777777"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For each temporal subset, a district-level flow network was constructed by aggregating the number of trips between all ordered pairs of community districts. The resulting data take the </w:t>
      </w:r>
      <w:r>
        <w:rPr>
          <w:rFonts w:ascii="Times New Roman" w:eastAsia="Times New Roman" w:hAnsi="Times New Roman" w:cs="Times New Roman"/>
        </w:rPr>
        <w:lastRenderedPageBreak/>
        <w:t xml:space="preserve">form of weighted edge lists, where each vertex represents a community </w:t>
      </w:r>
      <w:proofErr w:type="gramStart"/>
      <w:r>
        <w:rPr>
          <w:rFonts w:ascii="Times New Roman" w:eastAsia="Times New Roman" w:hAnsi="Times New Roman" w:cs="Times New Roman"/>
        </w:rPr>
        <w:t>district</w:t>
      </w:r>
      <w:proofErr w:type="gramEnd"/>
      <w:r>
        <w:rPr>
          <w:rFonts w:ascii="Times New Roman" w:eastAsia="Times New Roman" w:hAnsi="Times New Roman" w:cs="Times New Roman"/>
        </w:rPr>
        <w:t xml:space="preserve"> and each edge represents the total number of bike trips between two districts within a given temporal subset. The edge weights therefore capture the intensity of mobility flows across the city. Two types of graph representations were created from each edge list. We constructed weighted and directed networks based on temporal differences, scrutinized the key centrality measures (in- and out-degree, </w:t>
      </w:r>
      <w:proofErr w:type="spellStart"/>
      <w:r>
        <w:rPr>
          <w:rFonts w:ascii="Times New Roman" w:eastAsia="Times New Roman" w:hAnsi="Times New Roman" w:cs="Times New Roman"/>
        </w:rPr>
        <w:t>pagerank</w:t>
      </w:r>
      <w:proofErr w:type="spellEnd"/>
      <w:r>
        <w:rPr>
          <w:rFonts w:ascii="Times New Roman" w:eastAsia="Times New Roman" w:hAnsi="Times New Roman" w:cs="Times New Roman"/>
        </w:rPr>
        <w:t xml:space="preserve">, betweenness, closeness). Additionally, examined those on network level: checked reciprocity, density, </w:t>
      </w:r>
      <w:proofErr w:type="spellStart"/>
      <w:r>
        <w:rPr>
          <w:rFonts w:ascii="Times New Roman" w:eastAsia="Times New Roman" w:hAnsi="Times New Roman" w:cs="Times New Roman"/>
        </w:rPr>
        <w:t>assortativity</w:t>
      </w:r>
      <w:proofErr w:type="spellEnd"/>
      <w:r>
        <w:rPr>
          <w:rFonts w:ascii="Times New Roman" w:eastAsia="Times New Roman" w:hAnsi="Times New Roman" w:cs="Times New Roman"/>
        </w:rPr>
        <w:t>, ratio of self-loops and other descriptive metrics (Table 1). We found that the detected communities are overlapping the borough structure in New York City.</w:t>
      </w:r>
    </w:p>
    <w:p w14:paraId="4FE063B4" w14:textId="77777777" w:rsidR="0077631C" w:rsidRDefault="00000000">
      <w:pPr>
        <w:keepNext/>
        <w:pBdr>
          <w:top w:val="nil"/>
          <w:left w:val="nil"/>
          <w:bottom w:val="nil"/>
          <w:right w:val="nil"/>
          <w:between w:val="nil"/>
        </w:pBdr>
        <w:spacing w:after="360" w:line="240" w:lineRule="auto"/>
        <w:jc w:val="center"/>
        <w:rPr>
          <w:i/>
          <w:iCs/>
          <w:color w:val="0E2841"/>
          <w:sz w:val="20"/>
          <w:szCs w:val="20"/>
        </w:rPr>
      </w:pPr>
      <w:r>
        <w:rPr>
          <w:i/>
          <w:iCs/>
          <w:noProof/>
          <w:color w:val="0E2841"/>
          <w:sz w:val="18"/>
          <w:szCs w:val="18"/>
        </w:rPr>
        <w:drawing>
          <wp:inline distT="0" distB="0" distL="0" distR="0" wp14:anchorId="1CD0578B" wp14:editId="7FBB4223">
            <wp:extent cx="5731510" cy="2150110"/>
            <wp:effectExtent l="0" t="0" r="0" b="0"/>
            <wp:docPr id="1" name="image2.png" descr="A screenshot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screenshot of a graph&#10;&#10;AI-generated content may be incorrect."/>
                    <pic:cNvPicPr preferRelativeResize="0"/>
                  </pic:nvPicPr>
                  <pic:blipFill>
                    <a:blip r:embed="rId10"/>
                    <a:srcRect/>
                    <a:stretch>
                      <a:fillRect/>
                    </a:stretch>
                  </pic:blipFill>
                  <pic:spPr>
                    <a:xfrm>
                      <a:off x="0" y="0"/>
                      <a:ext cx="5731510" cy="2150110"/>
                    </a:xfrm>
                    <a:prstGeom prst="rect">
                      <a:avLst/>
                    </a:prstGeom>
                    <a:ln/>
                  </pic:spPr>
                </pic:pic>
              </a:graphicData>
            </a:graphic>
          </wp:inline>
        </w:drawing>
      </w:r>
      <w:r>
        <w:rPr>
          <w:rFonts w:ascii="Times New Roman" w:eastAsia="Times New Roman" w:hAnsi="Times New Roman" w:cs="Times New Roman"/>
          <w:i/>
          <w:iCs/>
          <w:color w:val="0E2841"/>
          <w:sz w:val="18"/>
          <w:szCs w:val="18"/>
        </w:rPr>
        <w:br/>
      </w:r>
      <w:r>
        <w:rPr>
          <w:i/>
          <w:iCs/>
          <w:color w:val="0E2841"/>
          <w:sz w:val="20"/>
          <w:szCs w:val="20"/>
        </w:rPr>
        <w:t>Table 1 Comparison of networks: correlation between centrality measures and other descriptive statistics</w:t>
      </w:r>
    </w:p>
    <w:p w14:paraId="6E5DCAE7" w14:textId="77777777"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for the comparison on basis of the above-mentioned aspects, we found that as far as weekday-weekend bike routes are concerned, those are pretty much consistent based on the correlation of the centrality measures. Based on network level findings, there are more edges during the week, than on the weekends (more and different routes are taken), however there is no directional bias. We can observe very similar </w:t>
      </w:r>
      <w:proofErr w:type="spellStart"/>
      <w:r>
        <w:rPr>
          <w:rFonts w:ascii="Times New Roman" w:eastAsia="Times New Roman" w:hAnsi="Times New Roman" w:cs="Times New Roman"/>
        </w:rPr>
        <w:t>assortativity</w:t>
      </w:r>
      <w:proofErr w:type="spellEnd"/>
      <w:r>
        <w:rPr>
          <w:rFonts w:ascii="Times New Roman" w:eastAsia="Times New Roman" w:hAnsi="Times New Roman" w:cs="Times New Roman"/>
        </w:rPr>
        <w:t xml:space="preserve"> (close to 0) and loop-ratios (0.38). Additionally, while on average cross-district rides are 3-times more frequent during weekdays than during the weekend, within-district rides do not show difference.</w:t>
      </w:r>
    </w:p>
    <w:p w14:paraId="1F3DE9F2" w14:textId="77777777"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Comparing morning and evening rides, those show some variance of the mobility structure during the day, while based on betweenness and in/out-degree correlations, paths are rather consistent. On network level, we find very similar statistics. However, both inter- and intra-district rides are more frequent during the evening hours.</w:t>
      </w:r>
    </w:p>
    <w:p w14:paraId="25449D4A" w14:textId="77777777" w:rsidR="0077631C" w:rsidRDefault="00000000">
      <w:pPr>
        <w:spacing w:line="360" w:lineRule="auto"/>
        <w:jc w:val="both"/>
        <w:rPr>
          <w:rFonts w:ascii="Times New Roman" w:eastAsia="Times New Roman" w:hAnsi="Times New Roman" w:cs="Times New Roman"/>
        </w:rPr>
      </w:pP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was applied separately to the morning, evening, weekday, and weekend networks. After community detection, the membership vector for each community district was extracted. </w:t>
      </w:r>
      <w:r>
        <w:rPr>
          <w:rFonts w:ascii="Times New Roman" w:eastAsia="Times New Roman" w:hAnsi="Times New Roman" w:cs="Times New Roman"/>
        </w:rPr>
        <w:lastRenderedPageBreak/>
        <w:t xml:space="preserve">To ensure comparability across different temporal subsets, a canonical ordering of districts was maintained so that each district was consistently matched with itself in all comparisons. The similarity between the </w:t>
      </w: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partitions obtained from different temporal subsets was evaluated using three complementary measures: the Adjusted Rand Index (ARI), which measures agreement between </w:t>
      </w:r>
      <w:proofErr w:type="spellStart"/>
      <w:r>
        <w:rPr>
          <w:rFonts w:ascii="Times New Roman" w:eastAsia="Times New Roman" w:hAnsi="Times New Roman" w:cs="Times New Roman"/>
        </w:rPr>
        <w:t>clusterings</w:t>
      </w:r>
      <w:proofErr w:type="spellEnd"/>
      <w:r>
        <w:rPr>
          <w:rFonts w:ascii="Times New Roman" w:eastAsia="Times New Roman" w:hAnsi="Times New Roman" w:cs="Times New Roman"/>
        </w:rPr>
        <w:t>, Normalized Mutual Information (NMI), which captures the amount of shared information between two partitions and Variation of Information (VI), which measures dissimilarity between partitions. ARI and NMI take values between 0 and 1, where higher values indicate stronger similarity between community structures, while VI also ranges between 0 and 1, with lower values indicating greater similarity. These metrics were used to quantify how functional mobility communities differ between morning and evening periods as well as between weekdays and weekends.</w:t>
      </w:r>
    </w:p>
    <w:p w14:paraId="5452F872" w14:textId="77777777"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To assess the robustness of the </w:t>
      </w: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-based results, the Louvain community detection method was applied as a secondary, validation-oriented approach. For this purpose, the same district-level flow networks were converted into weighted undirected graphs, as required by the Louvain algorithm. The resulting Louvain membership vectors were extracted using the same canonical node ordering as for </w:t>
      </w: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and were compared across temporal subsets using the same ARI, NMI, and VI similarity measures. In addition, modularity scores were computed for all Louvain partitions to verify that the detected communities exhibit a meaningful modular structure.</w:t>
      </w:r>
    </w:p>
    <w:p w14:paraId="0E122215" w14:textId="77777777"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above indicated, Louvain method is not used as the primary interpretative framework in this study, as it ignores the directionality that is intrinsic to commuting and leisure-related mobility. Instead, it serves as a robustness check to confirm that the main spatial patterns uncovered by </w:t>
      </w: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are not artifacts of a single community detection technique. The core interpretation of community structure, temporal variation, and functional mobility regions throughout the paper is therefore based on the </w:t>
      </w: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results, which are better suited to capturing the directional and weighted nature of bike-sharing flows in an urban environment.</w:t>
      </w:r>
    </w:p>
    <w:p w14:paraId="68B22BFC" w14:textId="77777777" w:rsidR="0077631C" w:rsidRDefault="00000000">
      <w:pPr>
        <w:pStyle w:val="Heading1"/>
      </w:pPr>
      <w:bookmarkStart w:id="6" w:name="_6gqoiy3rwtu9" w:colFirst="0" w:colLast="0"/>
      <w:bookmarkEnd w:id="6"/>
      <w:r>
        <w:t>Results and findings</w:t>
      </w:r>
    </w:p>
    <w:p w14:paraId="164E50C5" w14:textId="77777777" w:rsidR="0077631C" w:rsidRDefault="00000000">
      <w:pPr>
        <w:pStyle w:val="Heading3"/>
        <w:keepNext w:val="0"/>
        <w:keepLines w:val="0"/>
        <w:spacing w:before="280" w:line="360" w:lineRule="auto"/>
        <w:jc w:val="both"/>
        <w:rPr>
          <w:rFonts w:ascii="Times New Roman" w:eastAsia="Times New Roman" w:hAnsi="Times New Roman" w:cs="Times New Roman"/>
          <w:b/>
          <w:bCs/>
          <w:color w:val="000000"/>
          <w:sz w:val="26"/>
          <w:szCs w:val="26"/>
        </w:rPr>
      </w:pPr>
      <w:bookmarkStart w:id="7" w:name="_b29jejkxj8ur" w:colFirst="0" w:colLast="0"/>
      <w:bookmarkEnd w:id="7"/>
      <w:r>
        <w:rPr>
          <w:rFonts w:ascii="Times New Roman" w:eastAsia="Times New Roman" w:hAnsi="Times New Roman" w:cs="Times New Roman"/>
          <w:b/>
          <w:bCs/>
          <w:color w:val="000000"/>
          <w:sz w:val="26"/>
          <w:szCs w:val="26"/>
        </w:rPr>
        <w:t>Network Topology and Spatial Characteristics</w:t>
      </w:r>
    </w:p>
    <w:p w14:paraId="557D5076" w14:textId="77777777" w:rsidR="0077631C" w:rsidRDefault="00000000">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initial examination of the Citi Bike network topology reveals that the system functions as a spatial interaction network heavily influenced by geography. A strong negative Spearman correlation of -0.759 was observed between spatial distance and flow weight, confirming that </w:t>
      </w:r>
      <w:r>
        <w:rPr>
          <w:rFonts w:ascii="Times New Roman" w:eastAsia="Times New Roman" w:hAnsi="Times New Roman" w:cs="Times New Roman"/>
        </w:rPr>
        <w:lastRenderedPageBreak/>
        <w:t>as the distance between districts increases, the flow of commuters decreases significantly. Further testing of the degree distributions determined that the network is not scale-free, as the power-law fit produced an exceedingly high alpha parameter indicating a poor fit. Instead, the degree distribution follows a Log-Normal distribution, which is standard for spatial transportation and flow networks. Additionally, a Small-World test comparing clustering coefficients and path lengths to a random graph indicated that none of the temporal networks—morning, evening, weekday, or weekend—exhibit small-world properties.</w:t>
      </w:r>
    </w:p>
    <w:p w14:paraId="43848FDD" w14:textId="77777777" w:rsidR="0077631C" w:rsidRDefault="00000000">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When comparing the static structure of the network across different time periods, the underlying grid remains remarkably consistent. The correlation between centrality measures for weekdays and weekends is extremely high, with PageRank at 0.98, and both in-degree and out-degree correlations at 0.97. This suggests that the relative importance of specific stations and the primary routes riders utilize do not change significantly between working days and leisure days. However, a divergence appears when comparing morning and evening periods. While the out-degree correlation remains high at 0.98, implying that trips originate from the same residential hubs regardless of the time, the PageRank correlation drops to 0.58. This structural variance indicates that the hierarchy of destination nodes shifts significantly between the morning commute and evening return trips, as the "attractor" districts change based on the time of day.</w:t>
      </w:r>
    </w:p>
    <w:p w14:paraId="4F8FF8B0" w14:textId="77777777" w:rsidR="0077631C" w:rsidRDefault="00000000">
      <w:pPr>
        <w:pStyle w:val="Heading3"/>
        <w:keepNext w:val="0"/>
        <w:keepLines w:val="0"/>
        <w:spacing w:before="280" w:line="360" w:lineRule="auto"/>
        <w:jc w:val="both"/>
        <w:rPr>
          <w:rFonts w:ascii="Times New Roman" w:eastAsia="Times New Roman" w:hAnsi="Times New Roman" w:cs="Times New Roman"/>
          <w:b/>
          <w:bCs/>
          <w:color w:val="000000"/>
          <w:sz w:val="26"/>
          <w:szCs w:val="26"/>
        </w:rPr>
      </w:pPr>
      <w:bookmarkStart w:id="8" w:name="_tsrccmga2iq7" w:colFirst="0" w:colLast="0"/>
      <w:bookmarkEnd w:id="8"/>
      <w:r>
        <w:rPr>
          <w:rFonts w:ascii="Times New Roman" w:eastAsia="Times New Roman" w:hAnsi="Times New Roman" w:cs="Times New Roman"/>
          <w:b/>
          <w:bCs/>
          <w:color w:val="000000"/>
          <w:sz w:val="26"/>
          <w:szCs w:val="26"/>
        </w:rPr>
        <w:t>Temporal Community Dynamics</w:t>
      </w:r>
    </w:p>
    <w:p w14:paraId="614444E3" w14:textId="77777777" w:rsidR="0077631C" w:rsidRDefault="00000000">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Despite the consistency in the physical network structure, the intensity and functional organization of flows differ substantially across time. Weekday networks exhibit a higher density of 0.791 compared to 0.739 for weekends, and the volume of cross-district rides is approximately three times higher during the week. However, the ratio of self-loops—representing rides that start and end within the same community district—remains stable at approximately 38 percent for both periods. The network also shows high reciprocity of roughly 0.94 and near-zero </w:t>
      </w:r>
      <w:proofErr w:type="spellStart"/>
      <w:r>
        <w:rPr>
          <w:rFonts w:ascii="Times New Roman" w:eastAsia="Times New Roman" w:hAnsi="Times New Roman" w:cs="Times New Roman"/>
        </w:rPr>
        <w:t>assortativity</w:t>
      </w:r>
      <w:proofErr w:type="spellEnd"/>
      <w:r>
        <w:rPr>
          <w:rFonts w:ascii="Times New Roman" w:eastAsia="Times New Roman" w:hAnsi="Times New Roman" w:cs="Times New Roman"/>
        </w:rPr>
        <w:t>, indicating no directional bias or preference for high-degree nodes to connect exclusively with each other.</w:t>
      </w:r>
    </w:p>
    <w:p w14:paraId="1313A736" w14:textId="77777777" w:rsidR="0077631C" w:rsidRDefault="00000000">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application of the </w:t>
      </w: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algorithm, which detects communities based on directed flow, revealed distinct functional changes. On weekdays, the algorithm identified four communities, highlighted by a strong integration where the North Manhattan districts merge with the Bronx, likely driven by work-related travel flows. In contrast, the weekend network fragments </w:t>
      </w:r>
      <w:r>
        <w:rPr>
          <w:rFonts w:ascii="Times New Roman" w:eastAsia="Times New Roman" w:hAnsi="Times New Roman" w:cs="Times New Roman"/>
        </w:rPr>
        <w:lastRenderedPageBreak/>
        <w:t>differently; almost the entire borough of Manhattan forms a single community distinct from the Bronx, reflecting a leisure-oriented pattern where riders stay within the borough rather than commuting across boundaries.</w:t>
      </w:r>
    </w:p>
    <w:p w14:paraId="740287EC" w14:textId="77777777" w:rsidR="0077631C" w:rsidRDefault="00000000">
      <w:pPr>
        <w:spacing w:before="240" w:after="240"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DE54654" wp14:editId="6FC7EA0A">
            <wp:extent cx="5731200" cy="28702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31200" cy="2870200"/>
                    </a:xfrm>
                    <a:prstGeom prst="rect">
                      <a:avLst/>
                    </a:prstGeom>
                    <a:ln/>
                  </pic:spPr>
                </pic:pic>
              </a:graphicData>
            </a:graphic>
          </wp:inline>
        </w:drawing>
      </w:r>
      <w:r>
        <w:rPr>
          <w:i/>
          <w:iCs/>
          <w:color w:val="0E2841"/>
          <w:sz w:val="20"/>
          <w:szCs w:val="20"/>
        </w:rPr>
        <w:t>Figure 1: Morning and evening flows between boroughs</w:t>
      </w:r>
    </w:p>
    <w:p w14:paraId="2025699D" w14:textId="77777777" w:rsidR="0077631C" w:rsidRDefault="00000000">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Similar distinctions arise between morning and evening flows. As visualized in Figure 1, the morning network is dominated by a pronounced convergence, with heavy flows moving from outer boroughs onto Manhattan. In contrast, the evening panel illustrates a broad redirection outward, distributing riders back toward residential districts. This general shift accompanies a fragmentation from four communities to five, reflecting a transition from integrated city-wide commuting to localized "return home" circulation.</w:t>
      </w:r>
    </w:p>
    <w:p w14:paraId="56516FB2" w14:textId="77777777" w:rsidR="0077631C" w:rsidRDefault="00000000">
      <w:pPr>
        <w:pStyle w:val="Heading3"/>
        <w:keepNext w:val="0"/>
        <w:keepLines w:val="0"/>
        <w:spacing w:before="280" w:line="360" w:lineRule="auto"/>
        <w:jc w:val="both"/>
        <w:rPr>
          <w:rFonts w:ascii="Times New Roman" w:eastAsia="Times New Roman" w:hAnsi="Times New Roman" w:cs="Times New Roman"/>
          <w:b/>
          <w:bCs/>
          <w:color w:val="000000"/>
          <w:sz w:val="26"/>
          <w:szCs w:val="26"/>
        </w:rPr>
      </w:pPr>
      <w:bookmarkStart w:id="9" w:name="_2rvi0p3xj404" w:colFirst="0" w:colLast="0"/>
      <w:bookmarkEnd w:id="9"/>
      <w:r>
        <w:rPr>
          <w:rFonts w:ascii="Times New Roman" w:eastAsia="Times New Roman" w:hAnsi="Times New Roman" w:cs="Times New Roman"/>
          <w:b/>
          <w:bCs/>
          <w:color w:val="000000"/>
          <w:sz w:val="26"/>
          <w:szCs w:val="26"/>
        </w:rPr>
        <w:t>Structural Robustness and Methodological Comparison</w:t>
      </w:r>
    </w:p>
    <w:p w14:paraId="0D36DA55" w14:textId="77777777" w:rsidR="0077631C" w:rsidRDefault="00000000">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To validate these findings, the Louvain method was applied to undirected versions of the networks as a robustness check. The modularity scores were consistently positive at approximately 0.51, confirming that the community districts form a meaningful modular structure rather than a random network. The Louvain results largely reinforce the geography-based modularity of New York, with communities heavily overlapping with administrative boroughs. A specific, recurring anomaly was identified in Central Brooklyn, where districts 301, 304, and 405 consistently form a distinct cluster separate from the rest of the borough, persisting across different time specifications.</w:t>
      </w:r>
    </w:p>
    <w:p w14:paraId="0C629A1E" w14:textId="77777777" w:rsidR="0077631C" w:rsidRDefault="00000000">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The comparison between the two methods highlights the necessity of using flow-based detection for mobility data. When comparing morning and evening partitions using Louvain, the Adjusted Rand Index was nearly perfect at 0.97, whereas </w:t>
      </w: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showed variation with an index of 0.83. This discrepancy confirms that while the static infrastructure captured by Louvain does not change, the directional flow dynamics captured by </w:t>
      </w: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shift significantly. Thus, the </w:t>
      </w:r>
      <w:proofErr w:type="spellStart"/>
      <w:r>
        <w:rPr>
          <w:rFonts w:ascii="Times New Roman" w:eastAsia="Times New Roman" w:hAnsi="Times New Roman" w:cs="Times New Roman"/>
        </w:rPr>
        <w:t>Infomap</w:t>
      </w:r>
      <w:proofErr w:type="spellEnd"/>
      <w:r>
        <w:rPr>
          <w:rFonts w:ascii="Times New Roman" w:eastAsia="Times New Roman" w:hAnsi="Times New Roman" w:cs="Times New Roman"/>
        </w:rPr>
        <w:t xml:space="preserve"> results provide a more accurate representation of the functional temporal changes in urban mobility, distinguishing between the integrated flows of morning commutes and the fragmented, localized patterns of evening leisure.</w:t>
      </w:r>
    </w:p>
    <w:p w14:paraId="3DBF1CF5" w14:textId="77777777" w:rsidR="0077631C" w:rsidRDefault="0077631C">
      <w:pPr>
        <w:pBdr>
          <w:top w:val="nil"/>
          <w:left w:val="nil"/>
          <w:bottom w:val="nil"/>
          <w:right w:val="nil"/>
          <w:between w:val="nil"/>
        </w:pBdr>
        <w:spacing w:line="360" w:lineRule="auto"/>
        <w:jc w:val="both"/>
        <w:rPr>
          <w:rFonts w:ascii="Times New Roman" w:eastAsia="Times New Roman" w:hAnsi="Times New Roman" w:cs="Times New Roman"/>
        </w:rPr>
        <w:sectPr w:rsidR="0077631C">
          <w:footerReference w:type="even" r:id="rId12"/>
          <w:footerReference w:type="default" r:id="rId13"/>
          <w:footerReference w:type="first" r:id="rId14"/>
          <w:pgSz w:w="11906" w:h="16838"/>
          <w:pgMar w:top="1440" w:right="1440" w:bottom="1440" w:left="1440" w:header="0" w:footer="708" w:gutter="0"/>
          <w:cols w:space="720"/>
        </w:sectPr>
      </w:pPr>
    </w:p>
    <w:p w14:paraId="67C6B559" w14:textId="77777777" w:rsidR="0077631C" w:rsidRDefault="0077631C">
      <w:pPr>
        <w:spacing w:line="360" w:lineRule="auto"/>
        <w:jc w:val="both"/>
        <w:rPr>
          <w:rFonts w:ascii="Times New Roman" w:eastAsia="Times New Roman" w:hAnsi="Times New Roman" w:cs="Times New Roman"/>
        </w:rPr>
      </w:pPr>
    </w:p>
    <w:p w14:paraId="4D280913" w14:textId="77777777" w:rsidR="0077631C" w:rsidRDefault="00000000">
      <w:pPr>
        <w:spacing w:line="360" w:lineRule="auto"/>
        <w:jc w:val="both"/>
        <w:rPr>
          <w:rFonts w:ascii="Times New Roman" w:eastAsia="Times New Roman" w:hAnsi="Times New Roman" w:cs="Times New Roman"/>
        </w:rPr>
      </w:pPr>
      <w:r>
        <w:rPr>
          <w:rFonts w:ascii="Times New Roman" w:eastAsia="Times New Roman" w:hAnsi="Times New Roman" w:cs="Times New Roman"/>
        </w:rPr>
        <w:t>Graphs</w:t>
      </w:r>
    </w:p>
    <w:sdt>
      <w:sdtPr>
        <w:id w:val="919145594"/>
        <w:docPartObj>
          <w:docPartGallery w:val="Bibliographies"/>
          <w:docPartUnique/>
        </w:docPartObj>
      </w:sdtPr>
      <w:sdtEndPr>
        <w:rPr>
          <w:rFonts w:ascii="Aptos" w:eastAsia="Aptos" w:hAnsi="Aptos" w:cs="Aptos"/>
          <w:b w:val="0"/>
          <w:bCs w:val="0"/>
          <w:sz w:val="24"/>
          <w:szCs w:val="24"/>
        </w:rPr>
      </w:sdtEndPr>
      <w:sdtContent>
        <w:p w14:paraId="091DA07B" w14:textId="2484F2D6" w:rsidR="00B14522" w:rsidRDefault="00B14522">
          <w:pPr>
            <w:pStyle w:val="Heading1"/>
          </w:pPr>
          <w:r>
            <w:t>Bibliography</w:t>
          </w:r>
        </w:p>
        <w:sdt>
          <w:sdtPr>
            <w:id w:val="111145805"/>
            <w:bibliography/>
          </w:sdtPr>
          <w:sdtContent>
            <w:p w14:paraId="102AC4E0" w14:textId="77777777" w:rsidR="00B14522" w:rsidRDefault="00B14522" w:rsidP="00B14522">
              <w:pPr>
                <w:pStyle w:val="Bibliography"/>
                <w:ind w:left="720" w:hanging="720"/>
                <w:rPr>
                  <w:noProof/>
                </w:rPr>
              </w:pPr>
              <w:r>
                <w:fldChar w:fldCharType="begin"/>
              </w:r>
              <w:r>
                <w:instrText xml:space="preserve"> BIBLIOGRAPHY </w:instrText>
              </w:r>
              <w:r>
                <w:fldChar w:fldCharType="separate"/>
              </w:r>
              <w:r>
                <w:rPr>
                  <w:noProof/>
                </w:rPr>
                <w:t xml:space="preserve">Blondel, V. D., Guillaume, J.-L., Lambiotte, R., &amp; Lefebvre, E. (2008). Fast unfolding of communities in large networks. </w:t>
              </w:r>
              <w:r>
                <w:rPr>
                  <w:i/>
                  <w:iCs/>
                  <w:noProof/>
                </w:rPr>
                <w:t>Journal of statistical mechanics: theory and experiment</w:t>
              </w:r>
              <w:r>
                <w:rPr>
                  <w:noProof/>
                </w:rPr>
                <w:t>. doi:10.1088/1742-5468/2008/10/P10008</w:t>
              </w:r>
            </w:p>
            <w:p w14:paraId="53CF91A7" w14:textId="77777777" w:rsidR="00B14522" w:rsidRDefault="00B14522" w:rsidP="00B14522">
              <w:pPr>
                <w:pStyle w:val="Bibliography"/>
                <w:ind w:left="720" w:hanging="720"/>
                <w:rPr>
                  <w:noProof/>
                </w:rPr>
              </w:pPr>
              <w:r>
                <w:rPr>
                  <w:noProof/>
                </w:rPr>
                <w:t xml:space="preserve">Fortunato, S. (2010). Community detection in graphs. </w:t>
              </w:r>
              <w:r>
                <w:rPr>
                  <w:i/>
                  <w:iCs/>
                  <w:noProof/>
                </w:rPr>
                <w:t>Physics reports</w:t>
              </w:r>
              <w:r>
                <w:rPr>
                  <w:noProof/>
                </w:rPr>
                <w:t>.</w:t>
              </w:r>
            </w:p>
            <w:p w14:paraId="5D138A0F" w14:textId="77777777" w:rsidR="00B14522" w:rsidRDefault="00B14522" w:rsidP="00B14522">
              <w:pPr>
                <w:pStyle w:val="Bibliography"/>
                <w:ind w:left="720" w:hanging="720"/>
                <w:rPr>
                  <w:noProof/>
                </w:rPr>
              </w:pPr>
              <w:r>
                <w:rPr>
                  <w:noProof/>
                </w:rPr>
                <w:t>Jelena Smiljanić, C. B. (2023). Community Detection with the Map Equation and Infomap: Theory and Applications.</w:t>
              </w:r>
            </w:p>
            <w:p w14:paraId="51A44BD9" w14:textId="77777777" w:rsidR="00B14522" w:rsidRDefault="00B14522" w:rsidP="00B14522">
              <w:pPr>
                <w:pStyle w:val="Bibliography"/>
                <w:ind w:left="720" w:hanging="720"/>
                <w:rPr>
                  <w:noProof/>
                </w:rPr>
              </w:pPr>
              <w:r>
                <w:rPr>
                  <w:noProof/>
                </w:rPr>
                <w:t>Kinoshita, S.-i., Bando, Y., &amp; Sayama, H. (2024). Spatio-Temporal Differences in Bike Sharing Usage: A Tale of Six Cities.</w:t>
              </w:r>
            </w:p>
            <w:p w14:paraId="26FE9AFA" w14:textId="77777777" w:rsidR="00B14522" w:rsidRDefault="00B14522" w:rsidP="00B14522">
              <w:pPr>
                <w:pStyle w:val="Bibliography"/>
                <w:ind w:left="720" w:hanging="720"/>
                <w:rPr>
                  <w:noProof/>
                </w:rPr>
              </w:pPr>
              <w:r>
                <w:rPr>
                  <w:noProof/>
                </w:rPr>
                <w:t xml:space="preserve">Wen, Z., Tian, D., &amp; Wu, N. (2025). Modeling and Analyzing the Spatiotemporal Travel Patterns of Bike Sharing: A Case Study of Citi Bike in New York. </w:t>
              </w:r>
              <w:r>
                <w:rPr>
                  <w:i/>
                  <w:iCs/>
                  <w:noProof/>
                </w:rPr>
                <w:t>Sustainability</w:t>
              </w:r>
              <w:r>
                <w:rPr>
                  <w:noProof/>
                </w:rPr>
                <w:t>. doi:https://doi.org/10.3390/su17010014</w:t>
              </w:r>
            </w:p>
            <w:p w14:paraId="50A25052" w14:textId="125D68AA" w:rsidR="00B14522" w:rsidRDefault="00B14522" w:rsidP="00B14522">
              <w:r>
                <w:rPr>
                  <w:b/>
                  <w:bCs/>
                  <w:noProof/>
                </w:rPr>
                <w:fldChar w:fldCharType="end"/>
              </w:r>
            </w:p>
          </w:sdtContent>
        </w:sdt>
      </w:sdtContent>
    </w:sdt>
    <w:p w14:paraId="501BD732" w14:textId="77777777" w:rsidR="00B14522" w:rsidRDefault="00B14522">
      <w:pPr>
        <w:spacing w:line="360" w:lineRule="auto"/>
        <w:jc w:val="both"/>
        <w:rPr>
          <w:rFonts w:ascii="Times New Roman" w:eastAsia="Times New Roman" w:hAnsi="Times New Roman" w:cs="Times New Roman"/>
        </w:rPr>
      </w:pPr>
    </w:p>
    <w:p w14:paraId="13F0ED67" w14:textId="77777777" w:rsidR="0077631C" w:rsidRDefault="0077631C">
      <w:pPr>
        <w:spacing w:line="360" w:lineRule="auto"/>
        <w:jc w:val="both"/>
        <w:rPr>
          <w:rFonts w:ascii="Times New Roman" w:eastAsia="Times New Roman" w:hAnsi="Times New Roman" w:cs="Times New Roman"/>
        </w:rPr>
      </w:pPr>
    </w:p>
    <w:sectPr w:rsidR="0077631C">
      <w:type w:val="continuous"/>
      <w:pgSz w:w="11906" w:h="16838"/>
      <w:pgMar w:top="1440" w:right="1440" w:bottom="1440" w:left="1440" w:header="0"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22D476" w14:textId="77777777" w:rsidR="00D613D8" w:rsidRDefault="00D613D8">
      <w:pPr>
        <w:spacing w:after="0" w:line="240" w:lineRule="auto"/>
      </w:pPr>
      <w:r>
        <w:separator/>
      </w:r>
    </w:p>
  </w:endnote>
  <w:endnote w:type="continuationSeparator" w:id="0">
    <w:p w14:paraId="5E7750E4" w14:textId="77777777" w:rsidR="00D613D8" w:rsidRDefault="00D61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embedRegular r:id="rId1" w:fontKey="{DD33FF7F-F6A1-437B-B3AE-B1DB7DE15C65}"/>
    <w:embedBold r:id="rId2" w:fontKey="{07C1733A-D0BD-422A-9710-2954A4C54CA9}"/>
    <w:embedItalic r:id="rId3" w:fontKey="{79E3D354-F522-46FC-98D8-B26C186AC441}"/>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4" w:fontKey="{EA7B5F7F-707D-4059-A4F0-F9D74A469B85}"/>
  </w:font>
  <w:font w:name="Calibri">
    <w:panose1 w:val="020F0502020204030204"/>
    <w:charset w:val="00"/>
    <w:family w:val="swiss"/>
    <w:pitch w:val="variable"/>
    <w:sig w:usb0="E4002EFF" w:usb1="C200247B" w:usb2="00000009" w:usb3="00000000" w:csb0="000001FF" w:csb1="00000000"/>
    <w:embedRegular r:id="rId5" w:fontKey="{93F7D17D-CF1C-4458-A115-99A3C78B0244}"/>
  </w:font>
  <w:font w:name="Cambria">
    <w:panose1 w:val="02040503050406030204"/>
    <w:charset w:val="00"/>
    <w:family w:val="roman"/>
    <w:pitch w:val="variable"/>
    <w:sig w:usb0="E00006FF" w:usb1="420024FF" w:usb2="02000000" w:usb3="00000000" w:csb0="0000019F" w:csb1="00000000"/>
    <w:embedRegular r:id="rId6" w:fontKey="{8075F73B-9ECA-4AD8-BB7B-E75E2807EE3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AE439" w14:textId="0C546072" w:rsidR="0077631C" w:rsidRDefault="00B14522">
    <w:pPr>
      <w:pBdr>
        <w:top w:val="nil"/>
        <w:left w:val="nil"/>
        <w:bottom w:val="nil"/>
        <w:right w:val="nil"/>
        <w:between w:val="nil"/>
      </w:pBdr>
      <w:tabs>
        <w:tab w:val="center" w:pos="4513"/>
        <w:tab w:val="right" w:pos="9026"/>
      </w:tabs>
      <w:spacing w:after="0" w:line="240" w:lineRule="auto"/>
      <w:rPr>
        <w:color w:val="000000"/>
      </w:rPr>
    </w:pPr>
    <w:r>
      <w:rPr>
        <w:noProof/>
        <w:color w:val="000000"/>
      </w:rPr>
      <mc:AlternateContent>
        <mc:Choice Requires="wps">
          <w:drawing>
            <wp:anchor distT="0" distB="0" distL="0" distR="0" simplePos="0" relativeHeight="251659264" behindDoc="0" locked="0" layoutInCell="1" allowOverlap="1" wp14:anchorId="1C04BC00" wp14:editId="1662A4EC">
              <wp:simplePos x="635" y="635"/>
              <wp:positionH relativeFrom="page">
                <wp:align>center</wp:align>
              </wp:positionH>
              <wp:positionV relativeFrom="page">
                <wp:align>bottom</wp:align>
              </wp:positionV>
              <wp:extent cx="186690" cy="298450"/>
              <wp:effectExtent l="0" t="0" r="3810" b="0"/>
              <wp:wrapNone/>
              <wp:docPr id="565626927"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6690" cy="298450"/>
                      </a:xfrm>
                      <a:prstGeom prst="rect">
                        <a:avLst/>
                      </a:prstGeom>
                      <a:noFill/>
                      <a:ln>
                        <a:noFill/>
                      </a:ln>
                    </wps:spPr>
                    <wps:txbx>
                      <w:txbxContent>
                        <w:p w14:paraId="33268BC3" w14:textId="68CC73EE" w:rsidR="00B14522" w:rsidRPr="00B14522" w:rsidRDefault="00B14522" w:rsidP="00B14522">
                          <w:pPr>
                            <w:spacing w:after="0"/>
                            <w:rPr>
                              <w:rFonts w:ascii="Calibri" w:eastAsia="Calibri" w:hAnsi="Calibri" w:cs="Calibri"/>
                              <w:noProof/>
                              <w:color w:val="626469"/>
                              <w:sz w:val="12"/>
                              <w:szCs w:val="12"/>
                            </w:rPr>
                          </w:pPr>
                          <w:r w:rsidRPr="00B14522">
                            <w:rPr>
                              <w:rFonts w:ascii="Calibri" w:eastAsia="Calibri" w:hAnsi="Calibri" w:cs="Calibri"/>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C04BC00" id="_x0000_t202" coordsize="21600,21600" o:spt="202" path="m,l,21600r21600,l21600,xe">
              <v:stroke joinstyle="miter"/>
              <v:path gradientshapeok="t" o:connecttype="rect"/>
            </v:shapetype>
            <v:shape id="Text Box 2" o:spid="_x0000_s1026" type="#_x0000_t202" alt="Public" style="position:absolute;margin-left:0;margin-top:0;width:14.7pt;height:23.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" filled="f" stroked="f">
              <v:fill o:detectmouseclick="t"/>
              <v:textbox style="mso-fit-shape-to-text:t" inset="0,0,0,15pt">
                <w:txbxContent>
                  <w:p w14:paraId="33268BC3" w14:textId="68CC73EE" w:rsidR="00B14522" w:rsidRPr="00B14522" w:rsidRDefault="00B14522" w:rsidP="00B14522">
                    <w:pPr>
                      <w:spacing w:after="0"/>
                      <w:rPr>
                        <w:rFonts w:ascii="Calibri" w:eastAsia="Calibri" w:hAnsi="Calibri" w:cs="Calibri"/>
                        <w:noProof/>
                        <w:color w:val="626469"/>
                        <w:sz w:val="12"/>
                        <w:szCs w:val="12"/>
                      </w:rPr>
                    </w:pPr>
                    <w:r w:rsidRPr="00B14522">
                      <w:rPr>
                        <w:rFonts w:ascii="Calibri" w:eastAsia="Calibri" w:hAnsi="Calibri" w:cs="Calibri"/>
                        <w:noProof/>
                        <w:color w:val="626469"/>
                        <w:sz w:val="12"/>
                        <w:szCs w:val="12"/>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A1E53" w14:textId="610AD51D" w:rsidR="0077631C" w:rsidRDefault="00B14522">
    <w:pPr>
      <w:pBdr>
        <w:top w:val="nil"/>
        <w:left w:val="nil"/>
        <w:bottom w:val="nil"/>
        <w:right w:val="nil"/>
        <w:between w:val="nil"/>
      </w:pBdr>
      <w:tabs>
        <w:tab w:val="center" w:pos="4513"/>
        <w:tab w:val="right" w:pos="9026"/>
      </w:tabs>
      <w:spacing w:after="0" w:line="240" w:lineRule="auto"/>
      <w:jc w:val="center"/>
      <w:rPr>
        <w:color w:val="000000"/>
      </w:rPr>
    </w:pPr>
    <w:r>
      <w:rPr>
        <w:noProof/>
        <w:color w:val="000000"/>
      </w:rPr>
      <mc:AlternateContent>
        <mc:Choice Requires="wps">
          <w:drawing>
            <wp:anchor distT="0" distB="0" distL="0" distR="0" simplePos="0" relativeHeight="251660288" behindDoc="0" locked="0" layoutInCell="1" allowOverlap="1" wp14:anchorId="779EADE5" wp14:editId="2522A50B">
              <wp:simplePos x="914400" y="9868486"/>
              <wp:positionH relativeFrom="page">
                <wp:align>center</wp:align>
              </wp:positionH>
              <wp:positionV relativeFrom="page">
                <wp:align>bottom</wp:align>
              </wp:positionV>
              <wp:extent cx="186690" cy="298450"/>
              <wp:effectExtent l="0" t="0" r="3810" b="0"/>
              <wp:wrapNone/>
              <wp:docPr id="1175237762"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6690" cy="298450"/>
                      </a:xfrm>
                      <a:prstGeom prst="rect">
                        <a:avLst/>
                      </a:prstGeom>
                      <a:noFill/>
                      <a:ln>
                        <a:noFill/>
                      </a:ln>
                    </wps:spPr>
                    <wps:txbx>
                      <w:txbxContent>
                        <w:p w14:paraId="17100442" w14:textId="5C8010B2" w:rsidR="00B14522" w:rsidRPr="00B14522" w:rsidRDefault="00B14522" w:rsidP="00B14522">
                          <w:pPr>
                            <w:spacing w:after="0"/>
                            <w:rPr>
                              <w:rFonts w:ascii="Calibri" w:eastAsia="Calibri" w:hAnsi="Calibri" w:cs="Calibri"/>
                              <w:noProof/>
                              <w:color w:val="626469"/>
                              <w:sz w:val="12"/>
                              <w:szCs w:val="12"/>
                            </w:rPr>
                          </w:pPr>
                          <w:r w:rsidRPr="00B14522">
                            <w:rPr>
                              <w:rFonts w:ascii="Calibri" w:eastAsia="Calibri" w:hAnsi="Calibri" w:cs="Calibri"/>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79EADE5" id="_x0000_t202" coordsize="21600,21600" o:spt="202" path="m,l,21600r21600,l21600,xe">
              <v:stroke joinstyle="miter"/>
              <v:path gradientshapeok="t" o:connecttype="rect"/>
            </v:shapetype>
            <v:shape id="Text Box 3" o:spid="_x0000_s1027" type="#_x0000_t202" alt="Public" style="position:absolute;left:0;text-align:left;margin-left:0;margin-top:0;width:14.7pt;height:23.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" filled="f" stroked="f">
              <v:fill o:detectmouseclick="t"/>
              <v:textbox style="mso-fit-shape-to-text:t" inset="0,0,0,15pt">
                <w:txbxContent>
                  <w:p w14:paraId="17100442" w14:textId="5C8010B2" w:rsidR="00B14522" w:rsidRPr="00B14522" w:rsidRDefault="00B14522" w:rsidP="00B14522">
                    <w:pPr>
                      <w:spacing w:after="0"/>
                      <w:rPr>
                        <w:rFonts w:ascii="Calibri" w:eastAsia="Calibri" w:hAnsi="Calibri" w:cs="Calibri"/>
                        <w:noProof/>
                        <w:color w:val="626469"/>
                        <w:sz w:val="12"/>
                        <w:szCs w:val="12"/>
                      </w:rPr>
                    </w:pPr>
                    <w:r w:rsidRPr="00B14522">
                      <w:rPr>
                        <w:rFonts w:ascii="Calibri" w:eastAsia="Calibri" w:hAnsi="Calibri" w:cs="Calibri"/>
                        <w:noProof/>
                        <w:color w:val="626469"/>
                        <w:sz w:val="12"/>
                        <w:szCs w:val="12"/>
                      </w:rPr>
                      <w:t>Public</w:t>
                    </w:r>
                  </w:p>
                </w:txbxContent>
              </v:textbox>
              <w10:wrap anchorx="page" anchory="page"/>
            </v:shape>
          </w:pict>
        </mc:Fallback>
      </mc:AlternateContent>
    </w:r>
  </w:p>
  <w:p w14:paraId="607A298C" w14:textId="77777777" w:rsidR="0077631C" w:rsidRDefault="0077631C">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D2EB6" w14:textId="2421646B" w:rsidR="0077631C" w:rsidRDefault="00B14522">
    <w:pPr>
      <w:pBdr>
        <w:top w:val="nil"/>
        <w:left w:val="nil"/>
        <w:bottom w:val="nil"/>
        <w:right w:val="nil"/>
        <w:between w:val="nil"/>
      </w:pBdr>
      <w:tabs>
        <w:tab w:val="center" w:pos="4513"/>
        <w:tab w:val="right" w:pos="9026"/>
      </w:tabs>
      <w:spacing w:after="0" w:line="240" w:lineRule="auto"/>
      <w:jc w:val="center"/>
      <w:rPr>
        <w:color w:val="000000"/>
      </w:rPr>
    </w:pPr>
    <w:r>
      <w:rPr>
        <w:noProof/>
        <w:color w:val="000000"/>
      </w:rPr>
      <mc:AlternateContent>
        <mc:Choice Requires="wps">
          <w:drawing>
            <wp:anchor distT="0" distB="0" distL="0" distR="0" simplePos="0" relativeHeight="251658240" behindDoc="0" locked="0" layoutInCell="1" allowOverlap="1" wp14:anchorId="30162BC6" wp14:editId="5C9F3AE5">
              <wp:simplePos x="635" y="635"/>
              <wp:positionH relativeFrom="page">
                <wp:align>center</wp:align>
              </wp:positionH>
              <wp:positionV relativeFrom="page">
                <wp:align>bottom</wp:align>
              </wp:positionV>
              <wp:extent cx="186690" cy="298450"/>
              <wp:effectExtent l="0" t="0" r="3810" b="0"/>
              <wp:wrapNone/>
              <wp:docPr id="250696660"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6690" cy="298450"/>
                      </a:xfrm>
                      <a:prstGeom prst="rect">
                        <a:avLst/>
                      </a:prstGeom>
                      <a:noFill/>
                      <a:ln>
                        <a:noFill/>
                      </a:ln>
                    </wps:spPr>
                    <wps:txbx>
                      <w:txbxContent>
                        <w:p w14:paraId="5FD6BF8D" w14:textId="4C7F5F8F" w:rsidR="00B14522" w:rsidRPr="00B14522" w:rsidRDefault="00B14522" w:rsidP="00B14522">
                          <w:pPr>
                            <w:spacing w:after="0"/>
                            <w:rPr>
                              <w:rFonts w:ascii="Calibri" w:eastAsia="Calibri" w:hAnsi="Calibri" w:cs="Calibri"/>
                              <w:noProof/>
                              <w:color w:val="626469"/>
                              <w:sz w:val="12"/>
                              <w:szCs w:val="12"/>
                            </w:rPr>
                          </w:pPr>
                          <w:r w:rsidRPr="00B14522">
                            <w:rPr>
                              <w:rFonts w:ascii="Calibri" w:eastAsia="Calibri" w:hAnsi="Calibri" w:cs="Calibri"/>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0162BC6" id="_x0000_t202" coordsize="21600,21600" o:spt="202" path="m,l,21600r21600,l21600,xe">
              <v:stroke joinstyle="miter"/>
              <v:path gradientshapeok="t" o:connecttype="rect"/>
            </v:shapetype>
            <v:shape id="Text Box 1" o:spid="_x0000_s1028" type="#_x0000_t202" alt="Public" style="position:absolute;left:0;text-align:left;margin-left:0;margin-top:0;width:14.7pt;height:23.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" filled="f" stroked="f">
              <v:fill o:detectmouseclick="t"/>
              <v:textbox style="mso-fit-shape-to-text:t" inset="0,0,0,15pt">
                <w:txbxContent>
                  <w:p w14:paraId="5FD6BF8D" w14:textId="4C7F5F8F" w:rsidR="00B14522" w:rsidRPr="00B14522" w:rsidRDefault="00B14522" w:rsidP="00B14522">
                    <w:pPr>
                      <w:spacing w:after="0"/>
                      <w:rPr>
                        <w:rFonts w:ascii="Calibri" w:eastAsia="Calibri" w:hAnsi="Calibri" w:cs="Calibri"/>
                        <w:noProof/>
                        <w:color w:val="626469"/>
                        <w:sz w:val="12"/>
                        <w:szCs w:val="12"/>
                      </w:rPr>
                    </w:pPr>
                    <w:r w:rsidRPr="00B14522">
                      <w:rPr>
                        <w:rFonts w:ascii="Calibri" w:eastAsia="Calibri" w:hAnsi="Calibri" w:cs="Calibri"/>
                        <w:noProof/>
                        <w:color w:val="626469"/>
                        <w:sz w:val="12"/>
                        <w:szCs w:val="12"/>
                      </w:rPr>
                      <w:t>Public</w:t>
                    </w:r>
                  </w:p>
                </w:txbxContent>
              </v:textbox>
              <w10:wrap anchorx="page" anchory="page"/>
            </v:shape>
          </w:pict>
        </mc:Fallback>
      </mc:AlternateContent>
    </w:r>
  </w:p>
  <w:p w14:paraId="08C5AA20" w14:textId="77777777" w:rsidR="0077631C" w:rsidRDefault="0077631C">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27133" w14:textId="1ADBEB38" w:rsidR="0077631C" w:rsidRDefault="00B14522">
    <w:pPr>
      <w:pBdr>
        <w:top w:val="nil"/>
        <w:left w:val="nil"/>
        <w:bottom w:val="nil"/>
        <w:right w:val="nil"/>
        <w:between w:val="nil"/>
      </w:pBdr>
      <w:tabs>
        <w:tab w:val="center" w:pos="4513"/>
        <w:tab w:val="right" w:pos="9026"/>
      </w:tabs>
      <w:spacing w:after="0" w:line="240" w:lineRule="auto"/>
      <w:rPr>
        <w:color w:val="000000"/>
      </w:rPr>
    </w:pPr>
    <w:r>
      <w:rPr>
        <w:noProof/>
        <w:color w:val="000000"/>
      </w:rPr>
      <mc:AlternateContent>
        <mc:Choice Requires="wps">
          <w:drawing>
            <wp:anchor distT="0" distB="0" distL="0" distR="0" simplePos="0" relativeHeight="251662336" behindDoc="0" locked="0" layoutInCell="1" allowOverlap="1" wp14:anchorId="01DB77CC" wp14:editId="1D884172">
              <wp:simplePos x="635" y="635"/>
              <wp:positionH relativeFrom="page">
                <wp:align>center</wp:align>
              </wp:positionH>
              <wp:positionV relativeFrom="page">
                <wp:align>bottom</wp:align>
              </wp:positionV>
              <wp:extent cx="186690" cy="298450"/>
              <wp:effectExtent l="0" t="0" r="3810" b="0"/>
              <wp:wrapNone/>
              <wp:docPr id="441475587" name="Text Box 5"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6690" cy="298450"/>
                      </a:xfrm>
                      <a:prstGeom prst="rect">
                        <a:avLst/>
                      </a:prstGeom>
                      <a:noFill/>
                      <a:ln>
                        <a:noFill/>
                      </a:ln>
                    </wps:spPr>
                    <wps:txbx>
                      <w:txbxContent>
                        <w:p w14:paraId="4640C757" w14:textId="3E2C363D" w:rsidR="00B14522" w:rsidRPr="00B14522" w:rsidRDefault="00B14522" w:rsidP="00B14522">
                          <w:pPr>
                            <w:spacing w:after="0"/>
                            <w:rPr>
                              <w:rFonts w:ascii="Calibri" w:eastAsia="Calibri" w:hAnsi="Calibri" w:cs="Calibri"/>
                              <w:noProof/>
                              <w:color w:val="626469"/>
                              <w:sz w:val="12"/>
                              <w:szCs w:val="12"/>
                            </w:rPr>
                          </w:pPr>
                          <w:r w:rsidRPr="00B14522">
                            <w:rPr>
                              <w:rFonts w:ascii="Calibri" w:eastAsia="Calibri" w:hAnsi="Calibri" w:cs="Calibri"/>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DB77CC" id="_x0000_t202" coordsize="21600,21600" o:spt="202" path="m,l,21600r21600,l21600,xe">
              <v:stroke joinstyle="miter"/>
              <v:path gradientshapeok="t" o:connecttype="rect"/>
            </v:shapetype>
            <v:shape id="Text Box 5" o:spid="_x0000_s1029" type="#_x0000_t202" alt="Public" style="position:absolute;margin-left:0;margin-top:0;width:14.7pt;height:23.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" filled="f" stroked="f">
              <v:fill o:detectmouseclick="t"/>
              <v:textbox style="mso-fit-shape-to-text:t" inset="0,0,0,15pt">
                <w:txbxContent>
                  <w:p w14:paraId="4640C757" w14:textId="3E2C363D" w:rsidR="00B14522" w:rsidRPr="00B14522" w:rsidRDefault="00B14522" w:rsidP="00B14522">
                    <w:pPr>
                      <w:spacing w:after="0"/>
                      <w:rPr>
                        <w:rFonts w:ascii="Calibri" w:eastAsia="Calibri" w:hAnsi="Calibri" w:cs="Calibri"/>
                        <w:noProof/>
                        <w:color w:val="626469"/>
                        <w:sz w:val="12"/>
                        <w:szCs w:val="12"/>
                      </w:rPr>
                    </w:pPr>
                    <w:r w:rsidRPr="00B14522">
                      <w:rPr>
                        <w:rFonts w:ascii="Calibri" w:eastAsia="Calibri" w:hAnsi="Calibri" w:cs="Calibri"/>
                        <w:noProof/>
                        <w:color w:val="626469"/>
                        <w:sz w:val="12"/>
                        <w:szCs w:val="12"/>
                      </w:rPr>
                      <w:t>Public</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167DA" w14:textId="28638518" w:rsidR="0077631C" w:rsidRDefault="00B14522">
    <w:pPr>
      <w:pBdr>
        <w:top w:val="nil"/>
        <w:left w:val="nil"/>
        <w:bottom w:val="nil"/>
        <w:right w:val="nil"/>
        <w:between w:val="nil"/>
      </w:pBdr>
      <w:tabs>
        <w:tab w:val="center" w:pos="4513"/>
        <w:tab w:val="right" w:pos="9026"/>
      </w:tabs>
      <w:spacing w:after="0" w:line="240" w:lineRule="auto"/>
      <w:jc w:val="center"/>
      <w:rPr>
        <w:color w:val="000000"/>
      </w:rPr>
    </w:pPr>
    <w:r>
      <w:rPr>
        <w:noProof/>
        <w:color w:val="000000"/>
      </w:rPr>
      <mc:AlternateContent>
        <mc:Choice Requires="wps">
          <w:drawing>
            <wp:anchor distT="0" distB="0" distL="0" distR="0" simplePos="0" relativeHeight="251663360" behindDoc="0" locked="0" layoutInCell="1" allowOverlap="1" wp14:anchorId="0CF5C3C9" wp14:editId="3FF458DD">
              <wp:simplePos x="915035" y="9871075"/>
              <wp:positionH relativeFrom="page">
                <wp:align>center</wp:align>
              </wp:positionH>
              <wp:positionV relativeFrom="page">
                <wp:align>bottom</wp:align>
              </wp:positionV>
              <wp:extent cx="186690" cy="298450"/>
              <wp:effectExtent l="0" t="0" r="3810" b="0"/>
              <wp:wrapNone/>
              <wp:docPr id="1250609907" name="Text Box 6"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6690" cy="298450"/>
                      </a:xfrm>
                      <a:prstGeom prst="rect">
                        <a:avLst/>
                      </a:prstGeom>
                      <a:noFill/>
                      <a:ln>
                        <a:noFill/>
                      </a:ln>
                    </wps:spPr>
                    <wps:txbx>
                      <w:txbxContent>
                        <w:p w14:paraId="0483B601" w14:textId="4BEA05A0" w:rsidR="00B14522" w:rsidRPr="00B14522" w:rsidRDefault="00B14522" w:rsidP="00B14522">
                          <w:pPr>
                            <w:spacing w:after="0"/>
                            <w:rPr>
                              <w:rFonts w:ascii="Calibri" w:eastAsia="Calibri" w:hAnsi="Calibri" w:cs="Calibri"/>
                              <w:noProof/>
                              <w:color w:val="626469"/>
                              <w:sz w:val="12"/>
                              <w:szCs w:val="12"/>
                            </w:rPr>
                          </w:pPr>
                          <w:r w:rsidRPr="00B14522">
                            <w:rPr>
                              <w:rFonts w:ascii="Calibri" w:eastAsia="Calibri" w:hAnsi="Calibri" w:cs="Calibri"/>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CF5C3C9" id="_x0000_t202" coordsize="21600,21600" o:spt="202" path="m,l,21600r21600,l21600,xe">
              <v:stroke joinstyle="miter"/>
              <v:path gradientshapeok="t" o:connecttype="rect"/>
            </v:shapetype>
            <v:shape id="Text Box 6" o:spid="_x0000_s1030" type="#_x0000_t202" alt="Public" style="position:absolute;left:0;text-align:left;margin-left:0;margin-top:0;width:14.7pt;height:23.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" filled="f" stroked="f">
              <v:fill o:detectmouseclick="t"/>
              <v:textbox style="mso-fit-shape-to-text:t" inset="0,0,0,15pt">
                <w:txbxContent>
                  <w:p w14:paraId="0483B601" w14:textId="4BEA05A0" w:rsidR="00B14522" w:rsidRPr="00B14522" w:rsidRDefault="00B14522" w:rsidP="00B14522">
                    <w:pPr>
                      <w:spacing w:after="0"/>
                      <w:rPr>
                        <w:rFonts w:ascii="Calibri" w:eastAsia="Calibri" w:hAnsi="Calibri" w:cs="Calibri"/>
                        <w:noProof/>
                        <w:color w:val="626469"/>
                        <w:sz w:val="12"/>
                        <w:szCs w:val="12"/>
                      </w:rPr>
                    </w:pPr>
                    <w:r w:rsidRPr="00B14522">
                      <w:rPr>
                        <w:rFonts w:ascii="Calibri" w:eastAsia="Calibri" w:hAnsi="Calibri" w:cs="Calibri"/>
                        <w:noProof/>
                        <w:color w:val="626469"/>
                        <w:sz w:val="12"/>
                        <w:szCs w:val="12"/>
                      </w:rPr>
                      <w:t>Public</w:t>
                    </w:r>
                  </w:p>
                </w:txbxContent>
              </v:textbox>
              <w10:wrap anchorx="page" anchory="page"/>
            </v:shape>
          </w:pict>
        </mc:Fallback>
      </mc:AlternateContent>
    </w:r>
    <w:r w:rsidR="00000000">
      <w:rPr>
        <w:color w:val="000000"/>
      </w:rPr>
      <w:fldChar w:fldCharType="begin"/>
    </w:r>
    <w:r w:rsidR="00000000">
      <w:rPr>
        <w:color w:val="000000"/>
      </w:rPr>
      <w:instrText>PAGE</w:instrText>
    </w:r>
    <w:r w:rsidR="00000000">
      <w:rPr>
        <w:color w:val="000000"/>
      </w:rPr>
      <w:fldChar w:fldCharType="separate"/>
    </w:r>
    <w:r>
      <w:rPr>
        <w:noProof/>
        <w:color w:val="000000"/>
      </w:rPr>
      <w:t>2</w:t>
    </w:r>
    <w:r w:rsidR="00000000">
      <w:rPr>
        <w:color w:val="000000"/>
      </w:rPr>
      <w:fldChar w:fldCharType="end"/>
    </w:r>
  </w:p>
  <w:p w14:paraId="757A108D" w14:textId="77777777" w:rsidR="0077631C" w:rsidRDefault="0077631C">
    <w:pPr>
      <w:pBdr>
        <w:top w:val="nil"/>
        <w:left w:val="nil"/>
        <w:bottom w:val="nil"/>
        <w:right w:val="nil"/>
        <w:between w:val="nil"/>
      </w:pBdr>
      <w:tabs>
        <w:tab w:val="center" w:pos="4513"/>
        <w:tab w:val="right" w:pos="9026"/>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20D6F" w14:textId="68F72576" w:rsidR="0077631C" w:rsidRDefault="00B14522">
    <w:pPr>
      <w:pBdr>
        <w:top w:val="nil"/>
        <w:left w:val="nil"/>
        <w:bottom w:val="nil"/>
        <w:right w:val="nil"/>
        <w:between w:val="nil"/>
      </w:pBdr>
      <w:tabs>
        <w:tab w:val="center" w:pos="4513"/>
        <w:tab w:val="right" w:pos="9026"/>
      </w:tabs>
      <w:spacing w:after="0" w:line="240" w:lineRule="auto"/>
      <w:jc w:val="center"/>
      <w:rPr>
        <w:color w:val="000000"/>
      </w:rPr>
    </w:pPr>
    <w:r>
      <w:rPr>
        <w:noProof/>
        <w:color w:val="000000"/>
      </w:rPr>
      <mc:AlternateContent>
        <mc:Choice Requires="wps">
          <w:drawing>
            <wp:anchor distT="0" distB="0" distL="0" distR="0" simplePos="0" relativeHeight="251661312" behindDoc="0" locked="0" layoutInCell="1" allowOverlap="1" wp14:anchorId="6C650F35" wp14:editId="229EA0B7">
              <wp:simplePos x="635" y="635"/>
              <wp:positionH relativeFrom="page">
                <wp:align>center</wp:align>
              </wp:positionH>
              <wp:positionV relativeFrom="page">
                <wp:align>bottom</wp:align>
              </wp:positionV>
              <wp:extent cx="186690" cy="298450"/>
              <wp:effectExtent l="0" t="0" r="3810" b="0"/>
              <wp:wrapNone/>
              <wp:docPr id="2058388538" name="Text Box 4"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6690" cy="298450"/>
                      </a:xfrm>
                      <a:prstGeom prst="rect">
                        <a:avLst/>
                      </a:prstGeom>
                      <a:noFill/>
                      <a:ln>
                        <a:noFill/>
                      </a:ln>
                    </wps:spPr>
                    <wps:txbx>
                      <w:txbxContent>
                        <w:p w14:paraId="55FB4E46" w14:textId="24F6BB35" w:rsidR="00B14522" w:rsidRPr="00B14522" w:rsidRDefault="00B14522" w:rsidP="00B14522">
                          <w:pPr>
                            <w:spacing w:after="0"/>
                            <w:rPr>
                              <w:rFonts w:ascii="Calibri" w:eastAsia="Calibri" w:hAnsi="Calibri" w:cs="Calibri"/>
                              <w:noProof/>
                              <w:color w:val="626469"/>
                              <w:sz w:val="12"/>
                              <w:szCs w:val="12"/>
                            </w:rPr>
                          </w:pPr>
                          <w:r w:rsidRPr="00B14522">
                            <w:rPr>
                              <w:rFonts w:ascii="Calibri" w:eastAsia="Calibri" w:hAnsi="Calibri" w:cs="Calibri"/>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C650F35" id="_x0000_t202" coordsize="21600,21600" o:spt="202" path="m,l,21600r21600,l21600,xe">
              <v:stroke joinstyle="miter"/>
              <v:path gradientshapeok="t" o:connecttype="rect"/>
            </v:shapetype>
            <v:shape id="Text Box 4" o:spid="_x0000_s1031" type="#_x0000_t202" alt="Public" style="position:absolute;left:0;text-align:left;margin-left:0;margin-top:0;width:14.7pt;height:23.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" filled="f" stroked="f">
              <v:fill o:detectmouseclick="t"/>
              <v:textbox style="mso-fit-shape-to-text:t" inset="0,0,0,15pt">
                <w:txbxContent>
                  <w:p w14:paraId="55FB4E46" w14:textId="24F6BB35" w:rsidR="00B14522" w:rsidRPr="00B14522" w:rsidRDefault="00B14522" w:rsidP="00B14522">
                    <w:pPr>
                      <w:spacing w:after="0"/>
                      <w:rPr>
                        <w:rFonts w:ascii="Calibri" w:eastAsia="Calibri" w:hAnsi="Calibri" w:cs="Calibri"/>
                        <w:noProof/>
                        <w:color w:val="626469"/>
                        <w:sz w:val="12"/>
                        <w:szCs w:val="12"/>
                      </w:rPr>
                    </w:pPr>
                    <w:r w:rsidRPr="00B14522">
                      <w:rPr>
                        <w:rFonts w:ascii="Calibri" w:eastAsia="Calibri" w:hAnsi="Calibri" w:cs="Calibri"/>
                        <w:noProof/>
                        <w:color w:val="626469"/>
                        <w:sz w:val="12"/>
                        <w:szCs w:val="12"/>
                      </w:rPr>
                      <w:t>Public</w:t>
                    </w:r>
                  </w:p>
                </w:txbxContent>
              </v:textbox>
              <w10:wrap anchorx="page" anchory="page"/>
            </v:shape>
          </w:pict>
        </mc:Fallback>
      </mc:AlternateContent>
    </w:r>
    <w:r w:rsidR="00000000">
      <w:rPr>
        <w:color w:val="000000"/>
      </w:rPr>
      <w:fldChar w:fldCharType="begin"/>
    </w:r>
    <w:r w:rsidR="00000000">
      <w:rPr>
        <w:color w:val="000000"/>
      </w:rPr>
      <w:instrText>PAGE</w:instrText>
    </w:r>
    <w:r w:rsidR="00000000">
      <w:rPr>
        <w:color w:val="000000"/>
      </w:rPr>
      <w:fldChar w:fldCharType="separate"/>
    </w:r>
    <w:r w:rsidR="00000000">
      <w:rPr>
        <w:color w:val="000000"/>
      </w:rPr>
      <w:fldChar w:fldCharType="end"/>
    </w:r>
  </w:p>
  <w:p w14:paraId="2E2A358A" w14:textId="77777777" w:rsidR="0077631C" w:rsidRDefault="0077631C">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997958" w14:textId="77777777" w:rsidR="00D613D8" w:rsidRDefault="00D613D8">
      <w:pPr>
        <w:spacing w:after="0" w:line="240" w:lineRule="auto"/>
      </w:pPr>
      <w:r>
        <w:separator/>
      </w:r>
    </w:p>
  </w:footnote>
  <w:footnote w:type="continuationSeparator" w:id="0">
    <w:p w14:paraId="1A1DB235" w14:textId="77777777" w:rsidR="00D613D8" w:rsidRDefault="00D613D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31C"/>
    <w:rsid w:val="0077631C"/>
    <w:rsid w:val="00B0520B"/>
    <w:rsid w:val="00B14522"/>
    <w:rsid w:val="00D613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1D0D6"/>
  <w15:docId w15:val="{6732752B-C101-48C5-A61C-939D1AC63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en-GB"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imes New Roman" w:eastAsia="Times New Roman" w:hAnsi="Times New Roman" w:cs="Times New Roman"/>
      <w:b/>
      <w:bCs/>
      <w:sz w:val="32"/>
      <w:szCs w:val="32"/>
    </w:rPr>
  </w:style>
  <w:style w:type="paragraph" w:styleId="Heading2">
    <w:name w:val="heading 2"/>
    <w:basedOn w:val="Normal"/>
    <w:next w:val="Normal"/>
    <w:uiPriority w:val="9"/>
    <w:unhideWhenUsed/>
    <w:qFormat/>
    <w:pPr>
      <w:keepNext/>
      <w:keepLines/>
      <w:spacing w:before="160" w:after="80"/>
      <w:outlineLvl w:val="1"/>
    </w:pPr>
    <w:rPr>
      <w:rFonts w:ascii="Times New Roman" w:eastAsia="Times New Roman" w:hAnsi="Times New Roman" w:cs="Times New Roman"/>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character" w:customStyle="1" w:styleId="Heading1Char">
    <w:name w:val="Heading 1 Char"/>
    <w:basedOn w:val="DefaultParagraphFont"/>
    <w:link w:val="Heading1"/>
    <w:uiPriority w:val="9"/>
    <w:rsid w:val="00B14522"/>
    <w:rPr>
      <w:rFonts w:ascii="Times New Roman" w:eastAsia="Times New Roman" w:hAnsi="Times New Roman" w:cs="Times New Roman"/>
      <w:b/>
      <w:bCs/>
      <w:sz w:val="32"/>
      <w:szCs w:val="32"/>
    </w:rPr>
  </w:style>
  <w:style w:type="paragraph" w:styleId="Bibliography">
    <w:name w:val="Bibliography"/>
    <w:basedOn w:val="Normal"/>
    <w:next w:val="Normal"/>
    <w:uiPriority w:val="37"/>
    <w:unhideWhenUsed/>
    <w:rsid w:val="00B145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1339273">
      <w:bodyDiv w:val="1"/>
      <w:marLeft w:val="0"/>
      <w:marRight w:val="0"/>
      <w:marTop w:val="0"/>
      <w:marBottom w:val="0"/>
      <w:divBdr>
        <w:top w:val="none" w:sz="0" w:space="0" w:color="auto"/>
        <w:left w:val="none" w:sz="0" w:space="0" w:color="auto"/>
        <w:bottom w:val="none" w:sz="0" w:space="0" w:color="auto"/>
        <w:right w:val="none" w:sz="0" w:space="0" w:color="auto"/>
      </w:divBdr>
    </w:div>
    <w:div w:id="1138838981">
      <w:bodyDiv w:val="1"/>
      <w:marLeft w:val="0"/>
      <w:marRight w:val="0"/>
      <w:marTop w:val="0"/>
      <w:marBottom w:val="0"/>
      <w:divBdr>
        <w:top w:val="none" w:sz="0" w:space="0" w:color="auto"/>
        <w:left w:val="none" w:sz="0" w:space="0" w:color="auto"/>
        <w:bottom w:val="none" w:sz="0" w:space="0" w:color="auto"/>
        <w:right w:val="none" w:sz="0" w:space="0" w:color="auto"/>
      </w:divBdr>
    </w:div>
    <w:div w:id="1532256382">
      <w:bodyDiv w:val="1"/>
      <w:marLeft w:val="0"/>
      <w:marRight w:val="0"/>
      <w:marTop w:val="0"/>
      <w:marBottom w:val="0"/>
      <w:divBdr>
        <w:top w:val="none" w:sz="0" w:space="0" w:color="auto"/>
        <w:left w:val="none" w:sz="0" w:space="0" w:color="auto"/>
        <w:bottom w:val="none" w:sz="0" w:space="0" w:color="auto"/>
        <w:right w:val="none" w:sz="0" w:space="0" w:color="auto"/>
      </w:divBdr>
    </w:div>
    <w:div w:id="1878737839">
      <w:bodyDiv w:val="1"/>
      <w:marLeft w:val="0"/>
      <w:marRight w:val="0"/>
      <w:marTop w:val="0"/>
      <w:marBottom w:val="0"/>
      <w:divBdr>
        <w:top w:val="none" w:sz="0" w:space="0" w:color="auto"/>
        <w:left w:val="none" w:sz="0" w:space="0" w:color="auto"/>
        <w:bottom w:val="none" w:sz="0" w:space="0" w:color="auto"/>
        <w:right w:val="none" w:sz="0" w:space="0" w:color="auto"/>
      </w:divBdr>
    </w:div>
    <w:div w:id="2107384327">
      <w:bodyDiv w:val="1"/>
      <w:marLeft w:val="0"/>
      <w:marRight w:val="0"/>
      <w:marTop w:val="0"/>
      <w:marBottom w:val="0"/>
      <w:divBdr>
        <w:top w:val="none" w:sz="0" w:space="0" w:color="auto"/>
        <w:left w:val="none" w:sz="0" w:space="0" w:color="auto"/>
        <w:bottom w:val="none" w:sz="0" w:space="0" w:color="auto"/>
        <w:right w:val="none" w:sz="0" w:space="0" w:color="auto"/>
      </w:divBdr>
    </w:div>
    <w:div w:id="21128160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5.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4.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6.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For10</b:Tag>
    <b:SourceType>JournalArticle</b:SourceType>
    <b:Guid>{084298B8-9B30-4058-B24A-BB6ED4BEE129}</b:Guid>
    <b:Author>
      <b:Author>
        <b:NameList>
          <b:Person>
            <b:Last>Fortunato</b:Last>
            <b:First>Santo</b:First>
          </b:Person>
        </b:NameList>
      </b:Author>
    </b:Author>
    <b:Title>Community detection in graphs</b:Title>
    <b:JournalName>Physics reports</b:JournalName>
    <b:Year>2010</b:Year>
    <b:RefOrder>1</b:RefOrder>
  </b:Source>
  <b:Source>
    <b:Tag>Kin24</b:Tag>
    <b:SourceType>JournalArticle</b:SourceType>
    <b:Guid>{93F308AE-D214-40C0-BFE6-D3F0B39A09B2}</b:Guid>
    <b:Author>
      <b:Author>
        <b:NameList>
          <b:Person>
            <b:Last>Kinoshita</b:Last>
            <b:First>Shu-ichi</b:First>
          </b:Person>
          <b:Person>
            <b:Last>Bando</b:Last>
            <b:First>Yuya</b:First>
          </b:Person>
          <b:Person>
            <b:Last>Sayama</b:Last>
            <b:First>Hiroki</b:First>
          </b:Person>
        </b:NameList>
      </b:Author>
    </b:Author>
    <b:Title>Spatio-Temporal Differences in Bike Sharing Usage: A Tale of Six Cities</b:Title>
    <b:Year>2024</b:Year>
    <b:RefOrder>2</b:RefOrder>
  </b:Source>
  <b:Source>
    <b:Tag>Wen25</b:Tag>
    <b:SourceType>JournalArticle</b:SourceType>
    <b:Guid>{5FB90C4E-9A32-4694-9B47-92A4C6F8F2A0}</b:Guid>
    <b:Author>
      <b:Author>
        <b:NameList>
          <b:Person>
            <b:Last>Wen</b:Last>
            <b:First>Zheng</b:First>
          </b:Person>
          <b:Person>
            <b:Last>Tian</b:Last>
            <b:First>Dongwei</b:First>
          </b:Person>
          <b:Person>
            <b:Last>Wu</b:Last>
            <b:First>Naiming</b:First>
          </b:Person>
        </b:NameList>
      </b:Author>
    </b:Author>
    <b:Title>Modeling and Analyzing the Spatiotemporal Travel Patterns of Bike Sharing: A Case Study of Citi Bike in New York</b:Title>
    <b:JournalName>Sustainability</b:JournalName>
    <b:Year>2025</b:Year>
    <b:DOI>https://doi.org/10.3390/su17010014</b:DOI>
    <b:RefOrder>3</b:RefOrder>
  </b:Source>
  <b:Source>
    <b:Tag>Blo08</b:Tag>
    <b:SourceType>JournalArticle</b:SourceType>
    <b:Guid>{7B4939A7-FCB7-48AA-B7D7-0B7603B55C6E}</b:Guid>
    <b:Author>
      <b:Author>
        <b:NameList>
          <b:Person>
            <b:Last>Blondel</b:Last>
            <b:First>Vincent</b:First>
            <b:Middle>D.</b:Middle>
          </b:Person>
          <b:Person>
            <b:Last>Guillaume</b:Last>
            <b:First>Jean-Loup</b:First>
          </b:Person>
          <b:Person>
            <b:Last>Lambiotte</b:Last>
            <b:First>Renaud</b:First>
          </b:Person>
          <b:Person>
            <b:Last>Lefebvre</b:Last>
            <b:First>Etienne</b:First>
          </b:Person>
        </b:NameList>
      </b:Author>
    </b:Author>
    <b:Title>Fast unfolding of communities in large networks</b:Title>
    <b:JournalName>Journal of statistical mechanics: theory and experiment</b:JournalName>
    <b:Year>2008</b:Year>
    <b:DOI>10.1088/1742-5468/2008/10/P10008</b:DOI>
    <b:RefOrder>4</b:RefOrder>
  </b:Source>
  <b:Source>
    <b:Tag>Jel23</b:Tag>
    <b:SourceType>JournalArticle</b:SourceType>
    <b:Guid>{EE705FD2-2086-421E-893E-CCACED259598}</b:Guid>
    <b:Author>
      <b:Author>
        <b:NameList>
          <b:Person>
            <b:Last>Jelena Smiljanić</b:Last>
            <b:First>Christopher</b:First>
            <b:Middle>Blöcker, Anton Holmgren, Daniel Edler, Magnus Neuman, Martin Rosvall</b:Middle>
          </b:Person>
        </b:NameList>
      </b:Author>
    </b:Author>
    <b:Title>Community Detection with the Map Equation and Infomap: Theory and Applications</b:Title>
    <b:Year>2023</b:Year>
    <b:RefOrder>5</b:RefOrder>
  </b:Source>
</b:Sources>
</file>

<file path=customXml/itemProps1.xml><?xml version="1.0" encoding="utf-8"?>
<ds:datastoreItem xmlns:ds="http://schemas.openxmlformats.org/officeDocument/2006/customXml" ds:itemID="{6C6CF3CE-34A7-47E1-B971-D7A73DF967F7}">
  <ds:schemaRefs>
    <ds:schemaRef ds:uri="http://schemas.openxmlformats.org/officeDocument/2006/bibliography"/>
  </ds:schemaRefs>
</ds:datastoreItem>
</file>

<file path=docMetadata/LabelInfo.xml><?xml version="1.0" encoding="utf-8"?>
<clbl:labelList xmlns:clbl="http://schemas.microsoft.com/office/2020/mipLabelMetadata">
  <clbl:label id="{23507802-f8e4-4e38-829c-ac8ea9b241e4}" enabled="1" method="Privileged" siteId="{6e51e1ad-c54b-4b39-b598-0ffe9ae68fef}" contentBits="2" removed="0"/>
</clbl:labelList>
</file>

<file path=docProps/app.xml><?xml version="1.0" encoding="utf-8"?>
<Properties xmlns="http://schemas.openxmlformats.org/officeDocument/2006/extended-properties" xmlns:vt="http://schemas.openxmlformats.org/officeDocument/2006/docPropsVTypes">
  <Template>Normal</Template>
  <TotalTime>6</TotalTime>
  <Pages>11</Pages>
  <Words>3249</Words>
  <Characters>18523</Characters>
  <Application>Microsoft Office Word</Application>
  <DocSecurity>0</DocSecurity>
  <Lines>154</Lines>
  <Paragraphs>43</Paragraphs>
  <ScaleCrop>false</ScaleCrop>
  <Company/>
  <LinksUpToDate>false</LinksUpToDate>
  <CharactersWithSpaces>21729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Levente Szabo</cp:lastModifiedBy>
  <cp:revision>2</cp:revision>
  <dcterms:created xsi:type="dcterms:W3CDTF">2025-12-02T13:29:00Z</dcterms:created>
  <dcterms:modified xsi:type="dcterms:W3CDTF">2025-12-02T13:36:00Z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ef153d4,21b6c82f,460cb482,7ab0843a,1a506203,4a8acaf3</vt:lpwstr>
  </property>
  <property fmtid="{D5CDD505-2E9C-101B-9397-08002B2CF9AE}" pid="3" name="ClassificationContentMarkingFooterFontProps">
    <vt:lpwstr>#626469,6,Calibri</vt:lpwstr>
  </property>
  <property fmtid="{D5CDD505-2E9C-101B-9397-08002B2CF9AE}" pid="4" name="ClassificationContentMarkingFooterText">
    <vt:lpwstr>Public</vt:lpwstr>
  </property>
</Properties>
</file>