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media/rId101.png" ContentType="image/png"/>
  <Override PartName="/word/media/rId53.png" ContentType="image/png"/>
  <Override PartName="/word/media/rId57.png" ContentType="image/png"/>
  <Override PartName="/word/media/rId61.png" ContentType="image/png"/>
  <Override PartName="/word/media/rId71.png" ContentType="image/png"/>
  <Override PartName="/word/media/rId68.png" ContentType="image/png"/>
  <Override PartName="/word/media/rId93.png" ContentType="image/png"/>
  <Override PartName="/word/media/rId96.png" ContentType="image/png"/>
  <Override PartName="/word/media/rId75.png" ContentType="image/png"/>
  <Override PartName="/word/media/rId89.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79.png" ContentType="image/png"/>
  <Override PartName="/word/media/rId82.png" ContentType="image/png"/>
  <Override PartName="/word/media/rId85.png" ContentType="image/png"/>
  <Override PartName="/word/media/rId106.png" ContentType="image/png"/>
  <Override PartName="/word/media/rId111.png" ContentType="image/png"/>
  <Override PartName="/word/media/rId115.png" ContentType="image/png"/>
  <Override PartName="/word/media/rId119.png" ContentType="image/png"/>
  <Override PartName="/word/media/rId123.png" ContentType="image/png"/>
  <Override PartName="/word/media/rId137.png" ContentType="image/png"/>
  <Override PartName="/word/media/rId126.png" ContentType="image/png"/>
  <Override PartName="/word/media/rId143.png" ContentType="image/png"/>
  <Override PartName="/word/media/rId147.png" ContentType="image/png"/>
  <Override PartName="/word/media/rId151.png" ContentType="image/png"/>
  <Override PartName="/word/media/rId154.png" ContentType="image/png"/>
  <Override PartName="/word/media/rId65.png" ContentType="image/png"/>
  <Override PartName="/word/media/rId134.png" ContentType="image/png"/>
  <Override PartName="/word/media/rId21.png" ContentType="image/png"/>
  <Override PartName="/word/media/rId24.png" ContentType="image/png"/>
  <Override PartName="/word/media/rId27.png" ContentType="image/png"/>
  <Override PartName="/word/media/rId1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ref</w:t>
      </w:r>
    </w:p>
    <w:sectPr>
      <w:footerReference r:id="rId9" w:type="default"/>
      <w:pgSz w:h="16838" w:w="11906"/>
      <w:pgMar w:bottom="1134" w:footer="510" w:gutter="0" w:header="709" w:left="1191" w:right="1191" w:top="1191"/>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
    <w:p>
      <w:pPr>
        <w:pStyle w:val="FootnoteText"/>
      </w:pPr>
      <w:r>
        <w:rPr>
          <w:rStyle w:val="FootnoteReference"/>
        </w:rPr>
        <w:footnoteRef/>
      </w:r>
      <w:r>
        <w:t xml:space="preserve"> </w:t>
      </w:r>
      <w:r>
        <w:t xml:space="preserve">Shifts are described as movements up or down throughout these notes. Each diagram puts price on the vertical axis, so a curve is the graph of price as a function of quantity, and shifting a graph means changing the variable plotted vertically. That is also where the economics sits: a vertical shift is measured in pounds per unit and equals the change that caused it, so a tax of £</w:t>
      </w:r>
      <m:oMath>
        <m:r>
          <m:t>t</m:t>
        </m:r>
      </m:oMath>
      <w:r>
        <w:t xml:space="preserve"> </w:t>
      </w:r>
      <w:r>
        <w:t xml:space="preserve">per unit moves supply up by exactly £</w:t>
      </w:r>
      <m:oMath>
        <m:r>
          <m:t>t</m:t>
        </m:r>
      </m:oMath>
      <w:r>
        <w:t xml:space="preserve">. The horizontal distance is the vertical one multiplied by</w:t>
      </w:r>
      <w:r>
        <w:t xml:space="preserve"> </w:t>
      </w:r>
      <m:oMath>
        <m:r>
          <m:t>β</m:t>
        </m:r>
      </m:oMath>
      <w:r>
        <w:t xml:space="preserve"> </w:t>
      </w:r>
      <w:r>
        <w:t xml:space="preserve">or</w:t>
      </w:r>
      <w:r>
        <w:t xml:space="preserve"> </w:t>
      </w:r>
      <m:oMath>
        <m:r>
          <m:t>λ</m:t>
        </m:r>
      </m:oMath>
      <w:r>
        <w:t xml:space="preserve">. Mark schemes usually say right and left; for demand up is right, and for supply down is right. The one exception is a curve that is already vertical, such as long-run aggregate supply, which can only move sideways.</w:t>
      </w:r>
    </w:p>
  </w:footnote>
  <w:footnote w:id="105">
    <w:p>
      <w:pPr>
        <w:pStyle w:val="FootnoteText"/>
      </w:pPr>
      <w:r>
        <w:rPr>
          <w:rStyle w:val="FootnoteReference"/>
        </w:rPr>
        <w:footnoteRef/>
      </w:r>
      <w:r>
        <w:t xml:space="preserve"> </w:t>
      </w:r>
      <w:r>
        <w:t xml:space="preserve">Equations (41) and (42) are definitions and cannot be tested. A statement such as</w:t>
      </w:r>
      <w:r>
        <w:t xml:space="preserve"> </w:t>
      </w:r>
      <w:r>
        <w:t xml:space="preserve">“</w:t>
      </w:r>
      <w:r>
        <w:t xml:space="preserve">households spend a fixed fraction of disposable income</w:t>
      </w:r>
      <w:r>
        <w:t xml:space="preserve">”</w:t>
      </w:r>
      <w:r>
        <w:t xml:space="preserve"> </w:t>
      </w:r>
      <w:r>
        <w:t xml:space="preserve">is a behavioural claim: it could be wrong, and it is what generates predictions. Almost all macroeconomic reasoning consists of feeding behavioural equations into an identity, so keeping track of which is which shows which parts of an argument could fail.</w:t>
      </w:r>
    </w:p>
  </w:footnote>
  <w:footnote w:id="110">
    <w:p>
      <w:pPr>
        <w:pStyle w:val="FootnoteText"/>
      </w:pPr>
      <w:r>
        <w:rPr>
          <w:rStyle w:val="FootnoteReference"/>
        </w:rPr>
        <w:footnoteRef/>
      </w:r>
      <w:r>
        <w:t xml:space="preserve"> </w:t>
      </w:r>
      <w:r>
        <w:t xml:space="preserve">In (36),</w:t>
      </w:r>
      <w:r>
        <w:t xml:space="preserve"> </w:t>
      </w:r>
      <m:oMath>
        <m:r>
          <m:t>t</m:t>
        </m:r>
      </m:oMath>
      <w:r>
        <w:t xml:space="preserve"> </w:t>
      </w:r>
      <w:r>
        <w:t xml:space="preserve">was a tax of so many pounds per unit; here it is a tax rate, a fraction between zero and one. The reuse is standard, but nothing carries over from section 14 except the letter.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1"/>
        <w:szCs w:val="21"/>
        <w:lang w:bidi="ar-SA" w:eastAsia="en-US" w:val="en-US"/>
      </w:rPr>
    </w:rPrDefault>
    <w:pPrDefault>
      <w:pPr>
        <w:spacing w:after="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8" w:before="0" w:line="244"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pPr>
      <w:spacing w:after="40" w:before="0"/>
      <w:jc w:val="both"/>
    </w:pPr>
    <w:qFormat/>
  </w:style>
  <w:style w:styleId="Title" w:type="paragraph">
    <w:name w:val="Title"/>
    <w:basedOn w:val="Normal"/>
    <w:next w:val="BodyText"/>
    <w:qFormat/>
    <w:pPr>
      <w:spacing w:before="3000"/>
      <w:spacing w:after="40" w:before="0"/>
    </w:pPr>
    <w:rPr>
      <w:rFonts w:ascii="Cambria" w:hAnsi="Cambria"/>
      <w:b/>
      <w:color w:val="1F3B73"/>
      <w:sz w:val="40"/>
      <w:szCs w:val="40"/>
    </w:rPr>
  </w:style>
  <w:style w:styleId="Subtitle" w:type="paragraph">
    <w:name w:val="Subtitle"/>
    <w:basedOn w:val="Normal"/>
    <w:next w:val="BodyText"/>
    <w:qFormat/>
    <w:pPr>
      <w:spacing w:after="200" w:before="0"/>
      <w:pBdr>
        <w:bottom w:color="C3CAD6" w:space="6" w:sz="6" w:val="single"/>
      </w:pBdr>
    </w:pPr>
    <w:rPr>
      <w:i/>
      <w:color w:val="5B6068"/>
      <w:sz w:val="21"/>
      <w:szCs w:val="21"/>
    </w:rPr>
  </w:style>
  <w:style w:customStyle="1" w:styleId="Author" w:type="paragraph">
    <w:name w:val="Author"/>
    <w:basedOn w:val="Normal"/>
    <w:next w:val="BodyText"/>
    <w:qFormat/>
    <w:pPr>
      <w:spacing w:after="60" w:before="20"/>
      <w:jc w:val="left"/>
    </w:pPr>
    <w:rPr>
      <w:color w:val="5B6068"/>
      <w:sz w:val="22"/>
      <w:szCs w:val="22"/>
    </w:rPr>
  </w:style>
  <w:style w:styleId="Date" w:type="paragraph">
    <w:name w:val="Date"/>
    <w:basedOn w:val="Normal"/>
    <w:next w:val="BodyText"/>
    <w:qFormat/>
    <w:pPr>
      <w:spacing w:after="220" w:before="0"/>
      <w:jc w:val="left"/>
      <w:pBdr>
        <w:bottom w:color="C3CAD6" w:space="6" w:sz="6" w:val="single"/>
      </w:pBdr>
    </w:pPr>
    <w:rPr>
      <w:color w:val="5B6068"/>
      <w:sz w:val="19"/>
      <w:szCs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pBdr>
        <w:bottom w:color="C3CAD6" w:space="3" w:sz="6" w:val="single"/>
      </w:pBdr>
      <w:outlineLvl w:val="0"/>
    </w:pPr>
    <w:rPr>
      <w:rFonts w:ascii="Cambria" w:hAnsi="Cambria"/>
      <w:b/>
      <w:color w:val="1F3B73"/>
      <w:sz w:val="26"/>
      <w:szCs w:val="26"/>
    </w:rPr>
  </w:style>
  <w:style w:styleId="Heading2" w:type="paragraph">
    <w:name w:val="Heading 2"/>
    <w:basedOn w:val="Normal"/>
    <w:next w:val="BodyText"/>
    <w:uiPriority w:val="9"/>
    <w:qFormat/>
    <w:pPr>
      <w:keepNext/>
      <w:keepLines/>
      <w:spacing w:after="70" w:before="240"/>
      <w:outlineLvl w:val="1"/>
    </w:pPr>
    <w:rPr>
      <w:rFonts w:ascii="Cambria" w:hAnsi="Cambria"/>
      <w:b/>
      <w:color w:val="22262B"/>
      <w:sz w:val="23"/>
      <w:szCs w:val="23"/>
    </w:rPr>
  </w:style>
  <w:style w:styleId="Heading3" w:type="paragraph">
    <w:name w:val="Heading 3"/>
    <w:basedOn w:val="Normal"/>
    <w:next w:val="BodyText"/>
    <w:uiPriority w:val="9"/>
    <w:qFormat/>
    <w:pPr>
      <w:keepNext/>
      <w:keepLines/>
      <w:spacing w:after="50" w:before="170"/>
      <w:outlineLvl w:val="2"/>
    </w:pPr>
    <w:rPr>
      <w:rFonts w:ascii="Cambria" w:hAnsi="Cambria"/>
      <w:b/>
      <w:i/>
      <w:color w:val="22262B"/>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keepLines/>
      <w:jc w:val="left"/>
      <w:pBdr>
        <w:top w:color="D3D9E2" w:space="6" w:sz="4" w:val="single"/>
        <w:left w:color="1F3B73" w:space="8" w:sz="18" w:val="single"/>
        <w:bottom w:color="D3D9E2" w:space="6" w:sz="4" w:val="single"/>
        <w:right w:color="D3D9E2" w:space="6" w:sz="4" w:val="single"/>
      </w:pBdr>
      <w:shd w:color="auto" w:fill="F5F7FA" w:val="clear"/>
      <w:spacing w:after="115" w:before="115" w:line="240" w:lineRule="auto"/>
      <w:ind w:hanging="270" w:left="400" w:right="90"/>
    </w:pPr>
    <w:rPr>
      <w:sz w:val="20"/>
      <w:szCs w:val="20"/>
    </w:rPr>
  </w:style>
  <w:style w:styleId="FootnoteText" w:type="paragraph">
    <w:name w:val="Footnote Text"/>
    <w:basedOn w:val="Normal"/>
    <w:next w:val="FootnoteText"/>
    <w:uiPriority w:val="9"/>
    <w:unhideWhenUsed/>
    <w:qFormat/>
    <w:pPr>
      <w:spacing w:after="60" w:before="0" w:line="228" w:lineRule="auto"/>
      <w:jc w:val="both"/>
    </w:pPr>
    <w:rPr>
      <w:color w:val="22262B"/>
      <w:sz w:val="17"/>
      <w:szCs w:val="17"/>
    </w:rPr>
  </w:style>
  <w:style w:default="1" w:styleId="DefaultParagraphFont" w:type="character">
    <w:name w:val="Default Paragraph Font"/>
    <w:semiHidden/>
    <w:unhideWhenUsed/>
  </w:style>
  <w:style w:default="1" w:styleId="Table" w:type="table">
    <w:name w:val="Table"/>
    <w:basedOn w:val="TableNormal"/>
    <w:qFormat/>
    <w:pPr>
      <w:spacing w:after="30" w:before="30" w:line="240" w:lineRule="auto"/>
      <w:jc w:val="left"/>
    </w:pPr>
    <w:rPr>
      <w:sz w:val="19"/>
      <w:szCs w:val="19"/>
    </w:rPr>
    <w:tblPr>
      <w:tblInd w:type="dxa" w:w="0"/>
      <w:tblBorders>
        <w:top w:color="8A96AC" w:space="0" w:sz="6" w:val="single"/>
        <w:bottom w:color="8A96AC" w:space="0" w:sz="6" w:val="single"/>
        <w:insideH w:color="D3D9E2" w:space="0" w:sz="2" w:val="single"/>
      </w:tblBorders>
      <w:tblCellMar>
        <w:top w:type="dxa" w:w="70"/>
        <w:left w:type="dxa" w:w="108"/>
        <w:bottom w:type="dxa" w:w="70"/>
        <w:right w:type="dxa" w:w="108"/>
      </w:tblCellMar>
    </w:tblPr>
    <w:tblStylePr w:type="firstRow">
      <w:rPr>
        <w:b/>
      </w:rPr>
      <w:tcPr>
        <w:vAlign w:val="bottom"/>
        <w:tcBorders>
          <w:bottom w:color="8A96AC"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spacing w:after="140" w:before="0"/>
      <w:jc w:val="center"/>
    </w:pPr>
    <w:rPr>
      <w:i/>
      <w:color w:val="5B6068"/>
      <w:sz w:val="17"/>
      <w:szCs w:val="17"/>
    </w:rPr>
  </w:style>
  <w:style w:customStyle="1" w:styleId="Figure" w:type="paragraph">
    <w:name w:val="Figure"/>
    <w:basedOn w:val="BodyText"/>
    <w:pPr>
      <w:keepNext/>
      <w:spacing w:after="20" w:before="140"/>
      <w:jc w:val="center"/>
    </w:pPr>
  </w:style>
  <w:style w:customStyle="1" w:styleId="CaptionedFigure" w:type="paragraph">
    <w:name w:val="Captioned Figure"/>
    <w:basedOn w:val="Figure"/>
    <w:pPr>
      <w:keepNext/>
      <w:spacing w:after="20" w:before="14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uiPriority w:val="99"/>
    <w:rPr>
      <w:color w:val="1F3B73"/>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customStyle="1" w:styleId="ContentsPart" w:type="paragraph">
    <w:name w:val="Contents Part"/>
    <w:basedOn w:val="Normal"/>
    <w:next w:val="Compact"/>
    <w:qFormat/>
    <w:pPr>
      <w:keepNext/>
      <w:spacing w:after="50" w:before="170"/>
    </w:pPr>
    <w:rPr>
      <w:b/>
      <w:color w:val="1F3B73"/>
    </w:rPr>
  </w:style>
  <w:style w:styleId="Footer" w:type="paragraph">
    <w:name w:val="footer"/>
    <w:basedOn w:val="Normal"/>
    <w:pPr>
      <w:jc w:val="center"/>
      <w:spacing w:after="0" w:before="0"/>
    </w:pPr>
    <w:rPr>
      <w:color w:val="6B7079"/>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Id="rId9" Target="footer1.xml"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A Mathematical Introduction</dc:title>
  <dc:subject>Lecture notes for A-Level &amp; IB Economics</dc:subject>
  <dc:creator>Adam Butlin (University of Oxford)</dc:creator>
  <cp:keywords/>
  <dcterms:created xsi:type="dcterms:W3CDTF">2026-09-23T21:32:09Z</dcterms:created>
  <dcterms:modified xsi:type="dcterms:W3CDTF">2026-09-23T21:32:09Z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vt:lpwstr>
  </property>
</Properties>
</file>