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30E5" w14:textId="6FC072D8" w:rsidR="00E27556" w:rsidRPr="009C3FAB" w:rsidRDefault="009C3FAB" w:rsidP="00C71E6B">
      <w:pPr>
        <w:jc w:val="both"/>
        <w:rPr>
          <w:b/>
          <w:bCs/>
          <w:sz w:val="24"/>
          <w:szCs w:val="24"/>
        </w:rPr>
      </w:pPr>
      <w:r w:rsidRPr="009C3FAB">
        <w:rPr>
          <w:b/>
          <w:bCs/>
          <w:sz w:val="24"/>
          <w:szCs w:val="24"/>
        </w:rPr>
        <w:t>Test Problems</w:t>
      </w:r>
    </w:p>
    <w:p w14:paraId="222B5F62" w14:textId="74F7058B" w:rsidR="006F74B3" w:rsidRDefault="00E27556" w:rsidP="00E27556">
      <w:pPr>
        <w:jc w:val="both"/>
      </w:pPr>
      <w:r w:rsidRPr="00E27556">
        <w:t xml:space="preserve">To compare the performance of multi-objective optimisation algorithms (MOOAs) for optimising chemical systems, a kinetic-based reaction simulator </w:t>
      </w:r>
      <w:r>
        <w:t>has been created</w:t>
      </w:r>
      <w:r w:rsidRPr="00E27556">
        <w:t xml:space="preserve">. Four reactions with known kinetic parameters (pre-exponential factors and activation energies) were identified in the literature: (i) Van de </w:t>
      </w:r>
      <w:r w:rsidR="006928C1" w:rsidRPr="00E27556">
        <w:t>Vase</w:t>
      </w:r>
      <w:r w:rsidRPr="00E27556">
        <w:t xml:space="preserve"> reaction; (ii) nucleophilic aromatic substitution between 2,4-difluoronitrobenzene and morpholine; (iii) isomerisation of lactose to lactulose; (iv) Paal-Knorr reaction between 2,5-hexanedione and ethanolamine.</w:t>
      </w:r>
      <w:r w:rsidR="006928C1">
        <w:t xml:space="preserve"> </w:t>
      </w:r>
      <w:r w:rsidRPr="00E27556">
        <w:t xml:space="preserve">These examples provide a good representation of non-competitive (iv) and competitive reactions, including competing parallel (i, ii &amp; iii) and consecutive pathways (ii &amp; iii). Although reactions (iii) and (iv) contain reversible reactions, the </w:t>
      </w:r>
      <w:r w:rsidRPr="00E27556">
        <w:rPr>
          <w:i/>
        </w:rPr>
        <w:t>k</w:t>
      </w:r>
      <w:r w:rsidRPr="00E27556">
        <w:rPr>
          <w:vertAlign w:val="subscript"/>
        </w:rPr>
        <w:t>-1</w:t>
      </w:r>
      <w:r w:rsidRPr="00E27556">
        <w:t xml:space="preserve"> rate constants are negligible and </w:t>
      </w:r>
      <w:r w:rsidR="006928C1">
        <w:t>are</w:t>
      </w:r>
      <w:r w:rsidRPr="00E27556">
        <w:t xml:space="preserve"> therefore omitted. Six test problems </w:t>
      </w:r>
      <w:r w:rsidR="00782AA2">
        <w:t>have been</w:t>
      </w:r>
      <w:r w:rsidRPr="00E27556">
        <w:t xml:space="preserve"> formulated using reaction variable limits as </w:t>
      </w:r>
      <w:r w:rsidR="00782AA2">
        <w:t>boundaries</w:t>
      </w:r>
      <w:r w:rsidRPr="00E27556">
        <w:t xml:space="preserve"> and different process metrics as objectives.</w:t>
      </w:r>
      <w:r w:rsidR="00782AA2">
        <w:t xml:space="preserve"> T</w:t>
      </w:r>
      <w:r w:rsidRPr="00E27556">
        <w:t xml:space="preserve">he </w:t>
      </w:r>
      <w:r w:rsidR="00782AA2">
        <w:t>boundaries</w:t>
      </w:r>
      <w:r w:rsidRPr="00E27556">
        <w:t xml:space="preserve"> and objectives for each problem </w:t>
      </w:r>
      <w:r w:rsidR="00782AA2">
        <w:t>have been</w:t>
      </w:r>
      <w:r w:rsidRPr="00E27556">
        <w:t xml:space="preserve"> selected to ensure a diverse range of Pareto fronts were generated in terms of morphology, </w:t>
      </w:r>
      <w:proofErr w:type="gramStart"/>
      <w:r w:rsidRPr="00E27556">
        <w:t>uniformity</w:t>
      </w:r>
      <w:proofErr w:type="gramEnd"/>
      <w:r w:rsidRPr="00E27556">
        <w:t xml:space="preserve"> and continuity.</w:t>
      </w:r>
    </w:p>
    <w:tbl>
      <w:tblPr>
        <w:tblStyle w:val="TableGrid"/>
        <w:tblW w:w="8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1418"/>
        <w:gridCol w:w="4125"/>
      </w:tblGrid>
      <w:tr w:rsidR="006F74B3" w:rsidRPr="002E195F" w14:paraId="012D984B" w14:textId="77777777" w:rsidTr="00BD3BFF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79BE2AA" w14:textId="77777777" w:rsidR="006F74B3" w:rsidRPr="00DB40A4" w:rsidRDefault="006F74B3" w:rsidP="00BD3BFF">
            <w:pPr>
              <w:jc w:val="center"/>
              <w:rPr>
                <w:b/>
              </w:rPr>
            </w:pPr>
            <w:r>
              <w:rPr>
                <w:b/>
              </w:rPr>
              <w:t>Test Problem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538B6C" w14:textId="77777777" w:rsidR="006F74B3" w:rsidRPr="000D1087" w:rsidRDefault="006F74B3" w:rsidP="00BD3BFF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1864C9" w14:textId="77777777" w:rsidR="006F74B3" w:rsidRPr="000D1087" w:rsidRDefault="006F74B3" w:rsidP="00BD3BFF">
            <w:pPr>
              <w:jc w:val="center"/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4125" w:type="dxa"/>
            <w:vAlign w:val="center"/>
          </w:tcPr>
          <w:p w14:paraId="04DF2F7E" w14:textId="77777777" w:rsidR="006F74B3" w:rsidRPr="000D1087" w:rsidRDefault="006F74B3" w:rsidP="00BD3BFF">
            <w:pPr>
              <w:jc w:val="center"/>
              <w:rPr>
                <w:b/>
              </w:rPr>
            </w:pPr>
            <w:r>
              <w:rPr>
                <w:b/>
              </w:rPr>
              <w:t>Description of Pareto Front</w:t>
            </w:r>
          </w:p>
        </w:tc>
      </w:tr>
      <w:tr w:rsidR="006F74B3" w:rsidRPr="00CC3879" w14:paraId="42AF5688" w14:textId="77777777" w:rsidTr="00BD3BFF">
        <w:trPr>
          <w:jc w:val="center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D382C78" w14:textId="77777777" w:rsidR="006F74B3" w:rsidRPr="005521C1" w:rsidRDefault="006F74B3" w:rsidP="00BD3BFF">
            <w:pPr>
              <w:jc w:val="center"/>
            </w:pPr>
            <w:r>
              <w:t>VdV1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F0ECC69" w14:textId="77777777" w:rsidR="006F74B3" w:rsidRPr="00DB40A4" w:rsidRDefault="006F74B3" w:rsidP="00BD3BFF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5C4D51F" w14:textId="77777777" w:rsidR="006F74B3" w:rsidRPr="00DB40A4" w:rsidRDefault="006F74B3" w:rsidP="00BD3BFF">
            <w:pPr>
              <w:jc w:val="center"/>
            </w:pPr>
            <w:r>
              <w:t>2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1B310591" w14:textId="77777777" w:rsidR="006F74B3" w:rsidRPr="00DB40A4" w:rsidRDefault="006F74B3" w:rsidP="00BD3BFF">
            <w:pPr>
              <w:jc w:val="center"/>
            </w:pPr>
            <w:r>
              <w:t xml:space="preserve">Density of solutions fall away near to the Pareto front, which is </w:t>
            </w:r>
            <w:r>
              <w:br/>
              <w:t>non-uniformly distributed between linear and convex regions</w:t>
            </w:r>
          </w:p>
        </w:tc>
      </w:tr>
      <w:tr w:rsidR="006F74B3" w:rsidRPr="00CC3879" w14:paraId="5C1D9AFE" w14:textId="77777777" w:rsidTr="00BD3BFF">
        <w:trPr>
          <w:jc w:val="center"/>
        </w:trPr>
        <w:tc>
          <w:tcPr>
            <w:tcW w:w="1701" w:type="dxa"/>
            <w:vAlign w:val="center"/>
          </w:tcPr>
          <w:p w14:paraId="5B97647D" w14:textId="77777777" w:rsidR="006F74B3" w:rsidRPr="00930321" w:rsidRDefault="006F74B3" w:rsidP="00BD3BFF">
            <w:pPr>
              <w:jc w:val="center"/>
            </w:pPr>
            <w:r>
              <w:t>S</w:t>
            </w:r>
            <w:r>
              <w:rPr>
                <w:vertAlign w:val="subscript"/>
              </w:rPr>
              <w:t>N</w:t>
            </w:r>
            <w:r>
              <w:t>Ar1</w:t>
            </w:r>
          </w:p>
        </w:tc>
        <w:tc>
          <w:tcPr>
            <w:tcW w:w="1276" w:type="dxa"/>
            <w:vAlign w:val="center"/>
          </w:tcPr>
          <w:p w14:paraId="59F6FB61" w14:textId="77777777" w:rsidR="006F74B3" w:rsidRPr="00DB40A4" w:rsidRDefault="006F74B3" w:rsidP="00BD3BF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7316AE9F" w14:textId="77777777" w:rsidR="006F74B3" w:rsidRPr="00DB40A4" w:rsidRDefault="006F74B3" w:rsidP="00BD3BFF">
            <w:pPr>
              <w:jc w:val="center"/>
            </w:pPr>
            <w:r>
              <w:t>3</w:t>
            </w:r>
          </w:p>
        </w:tc>
        <w:tc>
          <w:tcPr>
            <w:tcW w:w="4125" w:type="dxa"/>
            <w:vAlign w:val="center"/>
          </w:tcPr>
          <w:p w14:paraId="483609AA" w14:textId="77777777" w:rsidR="006F74B3" w:rsidRPr="00DB40A4" w:rsidRDefault="006F74B3" w:rsidP="00BD3BFF">
            <w:pPr>
              <w:jc w:val="center"/>
            </w:pPr>
            <w:r>
              <w:t>Optimal solutions follow a convoluted path through objective space with concave regions</w:t>
            </w:r>
          </w:p>
        </w:tc>
      </w:tr>
      <w:tr w:rsidR="006F74B3" w:rsidRPr="00CC3879" w14:paraId="6CDF5D8B" w14:textId="77777777" w:rsidTr="00BD3BFF">
        <w:trPr>
          <w:jc w:val="center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6CFF31D" w14:textId="77777777" w:rsidR="006F74B3" w:rsidRPr="00930321" w:rsidRDefault="006F74B3" w:rsidP="00BD3BFF">
            <w:pPr>
              <w:keepNext/>
              <w:jc w:val="center"/>
            </w:pPr>
            <w:r>
              <w:t>S</w:t>
            </w:r>
            <w:r>
              <w:rPr>
                <w:vertAlign w:val="subscript"/>
              </w:rPr>
              <w:t>N</w:t>
            </w:r>
            <w:r>
              <w:t>Ar2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AE8E82" w14:textId="77777777" w:rsidR="006F74B3" w:rsidRPr="003C0A4B" w:rsidRDefault="006F74B3" w:rsidP="00BD3BFF">
            <w:pPr>
              <w:keepNext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D9DC528" w14:textId="77777777" w:rsidR="006F74B3" w:rsidRPr="00DB40A4" w:rsidRDefault="006F74B3" w:rsidP="00BD3BFF">
            <w:pPr>
              <w:keepNext/>
              <w:jc w:val="center"/>
            </w:pPr>
            <w:r>
              <w:t>3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48A13E49" w14:textId="77777777" w:rsidR="006F74B3" w:rsidRPr="00DB40A4" w:rsidRDefault="006F74B3" w:rsidP="00BD3BFF">
            <w:pPr>
              <w:keepNext/>
              <w:jc w:val="center"/>
            </w:pPr>
            <w:r>
              <w:t>Convex, non-uniformly distributed Pareto front</w:t>
            </w:r>
          </w:p>
        </w:tc>
      </w:tr>
      <w:tr w:rsidR="006F74B3" w:rsidRPr="00CC3879" w14:paraId="6E8B8A1D" w14:textId="77777777" w:rsidTr="00BD3BFF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0149455" w14:textId="77777777" w:rsidR="006F74B3" w:rsidRPr="00A93CCF" w:rsidRDefault="006F74B3" w:rsidP="00BD3BFF">
            <w:pPr>
              <w:keepNext/>
              <w:jc w:val="center"/>
            </w:pPr>
            <w:r>
              <w:t>Lactose1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8B5E04" w14:textId="77777777" w:rsidR="006F74B3" w:rsidRPr="003C0A4B" w:rsidRDefault="006F74B3" w:rsidP="00BD3BFF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A290D3" w14:textId="77777777" w:rsidR="006F74B3" w:rsidRPr="00DB40A4" w:rsidRDefault="006F74B3" w:rsidP="00BD3BFF">
            <w:pPr>
              <w:keepNext/>
              <w:jc w:val="center"/>
            </w:pPr>
            <w:r>
              <w:t>2</w:t>
            </w:r>
          </w:p>
        </w:tc>
        <w:tc>
          <w:tcPr>
            <w:tcW w:w="4125" w:type="dxa"/>
            <w:shd w:val="clear" w:color="auto" w:fill="auto"/>
            <w:vAlign w:val="center"/>
          </w:tcPr>
          <w:p w14:paraId="209AD289" w14:textId="77777777" w:rsidR="006F74B3" w:rsidRPr="00DB40A4" w:rsidRDefault="006F74B3" w:rsidP="00BD3BFF">
            <w:pPr>
              <w:keepNext/>
              <w:jc w:val="center"/>
            </w:pPr>
            <w:r>
              <w:t>Pareto front is a convex curve with many solutions</w:t>
            </w:r>
          </w:p>
        </w:tc>
      </w:tr>
      <w:tr w:rsidR="006F74B3" w:rsidRPr="00CC3879" w14:paraId="0DBC4B58" w14:textId="77777777" w:rsidTr="00BD3BFF">
        <w:trPr>
          <w:jc w:val="center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A3E6B26" w14:textId="77777777" w:rsidR="006F74B3" w:rsidRPr="00A93CCF" w:rsidRDefault="006F74B3" w:rsidP="00BD3BFF">
            <w:pPr>
              <w:keepNext/>
              <w:jc w:val="center"/>
            </w:pPr>
            <w:r>
              <w:t>PK1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7A1914E" w14:textId="77777777" w:rsidR="006F74B3" w:rsidRPr="003C0A4B" w:rsidRDefault="006F74B3" w:rsidP="00BD3BFF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504AF5" w14:textId="77777777" w:rsidR="006F74B3" w:rsidRPr="00DB40A4" w:rsidRDefault="006F74B3" w:rsidP="00BD3BFF">
            <w:pPr>
              <w:keepNext/>
              <w:jc w:val="center"/>
            </w:pPr>
            <w:r>
              <w:t>2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4F5868E0" w14:textId="77777777" w:rsidR="006F74B3" w:rsidRPr="00DB40A4" w:rsidRDefault="006F74B3" w:rsidP="00BD3BFF">
            <w:pPr>
              <w:keepNext/>
              <w:jc w:val="center"/>
            </w:pPr>
            <w:r>
              <w:t>Pareto front is a convex curve with relatively few solutions</w:t>
            </w:r>
          </w:p>
        </w:tc>
      </w:tr>
      <w:tr w:rsidR="006F74B3" w:rsidRPr="00CC3879" w14:paraId="2135EACC" w14:textId="77777777" w:rsidTr="00BD3BFF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BA32D03" w14:textId="77777777" w:rsidR="006F74B3" w:rsidRPr="00A93CCF" w:rsidRDefault="006F74B3" w:rsidP="00BD3BFF">
            <w:pPr>
              <w:keepNext/>
              <w:jc w:val="center"/>
            </w:pPr>
            <w:r>
              <w:t>PK2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28EDB" w14:textId="77777777" w:rsidR="006F74B3" w:rsidRPr="003C0A4B" w:rsidRDefault="006F74B3" w:rsidP="00BD3BFF">
            <w:pPr>
              <w:keepNext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2F14F8" w14:textId="77777777" w:rsidR="006F74B3" w:rsidRPr="00DB40A4" w:rsidRDefault="006F74B3" w:rsidP="00BD3BFF">
            <w:pPr>
              <w:keepNext/>
              <w:jc w:val="center"/>
            </w:pPr>
            <w:r>
              <w:t>2</w:t>
            </w:r>
          </w:p>
        </w:tc>
        <w:tc>
          <w:tcPr>
            <w:tcW w:w="4125" w:type="dxa"/>
            <w:shd w:val="clear" w:color="auto" w:fill="auto"/>
            <w:vAlign w:val="center"/>
          </w:tcPr>
          <w:p w14:paraId="1044246C" w14:textId="77777777" w:rsidR="006F74B3" w:rsidRPr="00DB40A4" w:rsidRDefault="006F74B3" w:rsidP="00BD3BFF">
            <w:pPr>
              <w:keepNext/>
              <w:jc w:val="center"/>
            </w:pPr>
            <w:r>
              <w:t>Pareto front consists of three discontinuous linear and concave regions</w:t>
            </w:r>
          </w:p>
        </w:tc>
      </w:tr>
    </w:tbl>
    <w:p w14:paraId="6BFDB0CE" w14:textId="77777777" w:rsidR="006F74B3" w:rsidRDefault="006F74B3" w:rsidP="00E27556">
      <w:pPr>
        <w:jc w:val="both"/>
        <w:rPr>
          <w:b/>
          <w:bCs/>
          <w:sz w:val="24"/>
          <w:szCs w:val="24"/>
        </w:rPr>
      </w:pPr>
    </w:p>
    <w:p w14:paraId="57CFE0EF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3EA43912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30950EAC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55A426CF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43D1B846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43A196E6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4E54455E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250C8188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75917F36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0D70655A" w14:textId="77777777" w:rsidR="00660515" w:rsidRDefault="00660515" w:rsidP="00E27556">
      <w:pPr>
        <w:jc w:val="both"/>
        <w:rPr>
          <w:b/>
          <w:bCs/>
          <w:sz w:val="24"/>
          <w:szCs w:val="24"/>
        </w:rPr>
      </w:pPr>
    </w:p>
    <w:p w14:paraId="32C18569" w14:textId="69CA356C" w:rsidR="006928C1" w:rsidRDefault="009C3FAB" w:rsidP="00E27556">
      <w:pPr>
        <w:jc w:val="both"/>
        <w:rPr>
          <w:b/>
          <w:bCs/>
          <w:sz w:val="24"/>
          <w:szCs w:val="24"/>
        </w:rPr>
      </w:pPr>
      <w:r w:rsidRPr="009C3FAB">
        <w:rPr>
          <w:b/>
          <w:bCs/>
          <w:sz w:val="24"/>
          <w:szCs w:val="24"/>
        </w:rPr>
        <w:lastRenderedPageBreak/>
        <w:t>VdV1</w:t>
      </w:r>
    </w:p>
    <w:p w14:paraId="178107CC" w14:textId="77777777" w:rsidR="009C3FAB" w:rsidRPr="009C3FAB" w:rsidRDefault="009C3FAB" w:rsidP="00E27556">
      <w:pPr>
        <w:jc w:val="both"/>
        <w:rPr>
          <w:b/>
          <w:bCs/>
          <w:sz w:val="24"/>
          <w:szCs w:val="24"/>
        </w:rPr>
      </w:pPr>
    </w:p>
    <w:tbl>
      <w:tblPr>
        <w:tblStyle w:val="TableGrid1"/>
        <w:tblW w:w="8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7904"/>
      </w:tblGrid>
      <w:tr w:rsidR="006928C1" w:rsidRPr="00734797" w14:paraId="6D817661" w14:textId="77777777" w:rsidTr="00D42FE8">
        <w:trPr>
          <w:trHeight w:val="1833"/>
          <w:jc w:val="center"/>
        </w:trPr>
        <w:tc>
          <w:tcPr>
            <w:tcW w:w="611" w:type="dxa"/>
          </w:tcPr>
          <w:p w14:paraId="41A93C41" w14:textId="77777777" w:rsidR="006928C1" w:rsidRPr="00734797" w:rsidRDefault="006928C1" w:rsidP="00BD3BFF">
            <w:pPr>
              <w:jc w:val="center"/>
              <w:rPr>
                <w:szCs w:val="24"/>
              </w:rPr>
            </w:pPr>
            <w:r w:rsidRPr="00734797">
              <w:rPr>
                <w:szCs w:val="24"/>
              </w:rPr>
              <w:t>(i)</w:t>
            </w:r>
          </w:p>
        </w:tc>
        <w:tc>
          <w:tcPr>
            <w:tcW w:w="7904" w:type="dxa"/>
            <w:vAlign w:val="center"/>
          </w:tcPr>
          <w:p w14:paraId="14796BEC" w14:textId="77777777" w:rsidR="006928C1" w:rsidRDefault="006928C1" w:rsidP="00BD3BFF">
            <w:pPr>
              <w:jc w:val="center"/>
              <w:rPr>
                <w:szCs w:val="24"/>
              </w:rPr>
            </w:pPr>
            <w:r w:rsidRPr="00734797">
              <w:rPr>
                <w:rFonts w:eastAsia="Times New Roman" w:cs="Arial"/>
                <w:szCs w:val="24"/>
                <w:lang w:eastAsia="en-GB"/>
              </w:rPr>
              <w:object w:dxaOrig="4288" w:dyaOrig="1555" w14:anchorId="601AE4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29pt;height:45.75pt" o:ole="">
                  <v:imagedata r:id="rId5" o:title=""/>
                </v:shape>
                <o:OLEObject Type="Embed" ProgID="ChemDraw.Document.6.0" ShapeID="_x0000_i1045" DrawAspect="Content" ObjectID="_1684671095" r:id="rId6"/>
              </w:object>
            </w:r>
          </w:p>
          <w:p w14:paraId="112DFC34" w14:textId="77777777" w:rsidR="006928C1" w:rsidRDefault="006928C1" w:rsidP="00BD3BFF">
            <w:pPr>
              <w:jc w:val="center"/>
              <w:rPr>
                <w:szCs w:val="24"/>
              </w:rPr>
            </w:pPr>
          </w:p>
          <w:p w14:paraId="2C310499" w14:textId="3F7180D8" w:rsidR="006928C1" w:rsidRDefault="006928C1" w:rsidP="00D42FE8">
            <w:pPr>
              <w:jc w:val="center"/>
            </w:pPr>
            <w:r w:rsidRPr="00734797">
              <w:rPr>
                <w:i/>
              </w:rPr>
              <w:t>A</w:t>
            </w:r>
            <w:r w:rsidRPr="00734797">
              <w:rPr>
                <w:i/>
                <w:vertAlign w:val="subscript"/>
              </w:rPr>
              <w:t>1</w:t>
            </w:r>
            <w:r>
              <w:t xml:space="preserve"> = 2.1</w:t>
            </w:r>
            <w:r w:rsidRPr="00734797">
              <w:t xml:space="preserve"> × 10</w:t>
            </w:r>
            <w:r w:rsidRPr="00734797">
              <w:rPr>
                <w:vertAlign w:val="superscript"/>
              </w:rPr>
              <w:t>10</w:t>
            </w:r>
            <w:r w:rsidRPr="00734797">
              <w:t xml:space="preserve"> min</w:t>
            </w:r>
            <w:r w:rsidRPr="00734797">
              <w:rPr>
                <w:vertAlign w:val="superscript"/>
              </w:rPr>
              <w:t>-1</w:t>
            </w:r>
            <w:r>
              <w:t xml:space="preserve">, </w:t>
            </w:r>
            <w:r w:rsidRPr="00734797">
              <w:rPr>
                <w:i/>
              </w:rPr>
              <w:t>A2</w:t>
            </w:r>
            <w:r>
              <w:t xml:space="preserve"> = 2.1</w:t>
            </w:r>
            <w:r w:rsidRPr="00734797">
              <w:t xml:space="preserve"> × 10</w:t>
            </w:r>
            <w:r w:rsidRPr="00734797">
              <w:rPr>
                <w:vertAlign w:val="superscript"/>
              </w:rPr>
              <w:t>10</w:t>
            </w:r>
            <w:r w:rsidRPr="00734797">
              <w:t xml:space="preserve"> min</w:t>
            </w:r>
            <w:r w:rsidRPr="00734797">
              <w:rPr>
                <w:vertAlign w:val="superscript"/>
              </w:rPr>
              <w:t>-1</w:t>
            </w:r>
            <w:r>
              <w:t xml:space="preserve">, </w:t>
            </w:r>
            <w:r w:rsidRPr="00734797">
              <w:rPr>
                <w:i/>
              </w:rPr>
              <w:t>A3</w:t>
            </w:r>
            <w:r>
              <w:t xml:space="preserve"> = 1.5</w:t>
            </w:r>
            <w:r w:rsidRPr="00734797">
              <w:t xml:space="preserve"> × 10</w:t>
            </w:r>
            <w:r w:rsidRPr="00734797">
              <w:rPr>
                <w:vertAlign w:val="superscript"/>
              </w:rPr>
              <w:t>8</w:t>
            </w:r>
            <w:r w:rsidRPr="00734797">
              <w:t xml:space="preserve"> min</w:t>
            </w:r>
            <w:r w:rsidRPr="00734797">
              <w:rPr>
                <w:vertAlign w:val="superscript"/>
              </w:rPr>
              <w:t>-1</w:t>
            </w:r>
            <w:r>
              <w:t>,</w:t>
            </w:r>
          </w:p>
          <w:p w14:paraId="3BE8D007" w14:textId="34BE0EAF" w:rsidR="006928C1" w:rsidRPr="009C3FAB" w:rsidRDefault="006928C1" w:rsidP="00D42FE8">
            <w:pPr>
              <w:jc w:val="center"/>
              <w:rPr>
                <w:vertAlign w:val="superscript"/>
              </w:rPr>
            </w:pPr>
            <w:r w:rsidRPr="00734797">
              <w:rPr>
                <w:i/>
              </w:rPr>
              <w:t>E</w:t>
            </w:r>
            <w:r w:rsidRPr="00734797">
              <w:rPr>
                <w:i/>
                <w:vertAlign w:val="subscript"/>
              </w:rPr>
              <w:t>a,1</w:t>
            </w:r>
            <w:r w:rsidRPr="00734797">
              <w:rPr>
                <w:vertAlign w:val="subscript"/>
              </w:rPr>
              <w:t xml:space="preserve"> </w:t>
            </w:r>
            <w:r>
              <w:t>= 81.1</w:t>
            </w:r>
            <w:r w:rsidRPr="00734797">
              <w:t xml:space="preserve"> kJ mol</w:t>
            </w:r>
            <w:r w:rsidRPr="00734797">
              <w:rPr>
                <w:vertAlign w:val="superscript"/>
              </w:rPr>
              <w:t>-1</w:t>
            </w:r>
            <w:r>
              <w:t xml:space="preserve">, </w:t>
            </w:r>
            <w:r w:rsidRPr="00734797">
              <w:rPr>
                <w:i/>
              </w:rPr>
              <w:t>E</w:t>
            </w:r>
            <w:r w:rsidRPr="00734797">
              <w:rPr>
                <w:i/>
                <w:vertAlign w:val="subscript"/>
              </w:rPr>
              <w:t>a,2</w:t>
            </w:r>
            <w:r w:rsidRPr="00734797">
              <w:rPr>
                <w:vertAlign w:val="subscript"/>
              </w:rPr>
              <w:t xml:space="preserve"> </w:t>
            </w:r>
            <w:r>
              <w:t>= 81.1</w:t>
            </w:r>
            <w:r w:rsidRPr="00734797">
              <w:t xml:space="preserve"> kJ mol</w:t>
            </w:r>
            <w:r w:rsidRPr="00734797">
              <w:rPr>
                <w:vertAlign w:val="superscript"/>
              </w:rPr>
              <w:t>-1</w:t>
            </w:r>
            <w:r>
              <w:t xml:space="preserve">, </w:t>
            </w:r>
            <w:r w:rsidRPr="00734797">
              <w:rPr>
                <w:i/>
              </w:rPr>
              <w:t>E</w:t>
            </w:r>
            <w:r w:rsidRPr="00734797">
              <w:rPr>
                <w:i/>
                <w:vertAlign w:val="subscript"/>
              </w:rPr>
              <w:t>a,3</w:t>
            </w:r>
            <w:r>
              <w:t xml:space="preserve"> = 71.2</w:t>
            </w:r>
            <w:r w:rsidRPr="00734797">
              <w:t xml:space="preserve"> kJ mol</w:t>
            </w:r>
            <w:r w:rsidRPr="00734797">
              <w:rPr>
                <w:vertAlign w:val="superscript"/>
              </w:rPr>
              <w:t>-1</w:t>
            </w:r>
          </w:p>
        </w:tc>
      </w:tr>
    </w:tbl>
    <w:p w14:paraId="766D0552" w14:textId="77777777" w:rsidR="006928C1" w:rsidRDefault="006928C1" w:rsidP="00C71E6B">
      <w:pPr>
        <w:jc w:val="both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D42FE8" w14:paraId="1D2AA40A" w14:textId="77777777" w:rsidTr="00D42FE8">
        <w:trPr>
          <w:jc w:val="center"/>
        </w:trPr>
        <w:tc>
          <w:tcPr>
            <w:tcW w:w="8494" w:type="dxa"/>
            <w:gridSpan w:val="2"/>
            <w:vAlign w:val="center"/>
          </w:tcPr>
          <w:p w14:paraId="1E6F324C" w14:textId="77777777" w:rsidR="00D42FE8" w:rsidRPr="00D42FE8" w:rsidRDefault="00D42FE8" w:rsidP="00D42F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STY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392546E6" w14:textId="208160E7" w:rsidR="00D42FE8" w:rsidRDefault="00D42FE8" w:rsidP="00D42FE8"/>
        </w:tc>
      </w:tr>
      <w:tr w:rsidR="00D42FE8" w14:paraId="1DC439F9" w14:textId="77777777" w:rsidTr="00D42FE8">
        <w:trPr>
          <w:jc w:val="center"/>
        </w:trPr>
        <w:tc>
          <w:tcPr>
            <w:tcW w:w="1413" w:type="dxa"/>
          </w:tcPr>
          <w:p w14:paraId="07E3DAE5" w14:textId="77777777" w:rsidR="00D42FE8" w:rsidRDefault="00D42FE8" w:rsidP="00D42FE8">
            <w:r>
              <w:t>subject to:</w:t>
            </w:r>
          </w:p>
        </w:tc>
        <w:tc>
          <w:tcPr>
            <w:tcW w:w="7081" w:type="dxa"/>
            <w:vAlign w:val="center"/>
          </w:tcPr>
          <w:p w14:paraId="4B512CB4" w14:textId="77777777" w:rsidR="00D42FE8" w:rsidRDefault="00D42FE8" w:rsidP="00D42FE8">
            <w:pPr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10]</w:t>
            </w:r>
          </w:p>
          <w:p w14:paraId="042CC0FF" w14:textId="77777777" w:rsidR="00D42FE8" w:rsidRDefault="00D42FE8" w:rsidP="00D42FE8">
            <w:pPr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 xml:space="preserve">C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[25, 100]</w:t>
            </w:r>
          </w:p>
          <w:p w14:paraId="43F4B4AD" w14:textId="77777777" w:rsidR="00D42FE8" w:rsidRDefault="00D42FE8" w:rsidP="00D42FE8">
            <w:pPr>
              <w:jc w:val="center"/>
            </w:pPr>
            <w:r>
              <w:t>[</w:t>
            </w:r>
            <w:r w:rsidRPr="00515768">
              <w:rPr>
                <w:b/>
              </w:rPr>
              <w:t>A</w:t>
            </w:r>
            <w:r>
              <w:t>]/M = 1</w:t>
            </w:r>
          </w:p>
        </w:tc>
      </w:tr>
    </w:tbl>
    <w:p w14:paraId="353AA246" w14:textId="257030AC" w:rsidR="006928C1" w:rsidRDefault="006928C1" w:rsidP="00C71E6B">
      <w:pPr>
        <w:jc w:val="both"/>
        <w:rPr>
          <w:b/>
          <w:bCs/>
        </w:rPr>
      </w:pPr>
    </w:p>
    <w:p w14:paraId="5C07F6C5" w14:textId="16E774AC" w:rsidR="006928C1" w:rsidRDefault="00D42FE8" w:rsidP="00D42FE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73B197" wp14:editId="1970D629">
            <wp:extent cx="3051544" cy="2243015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95" cy="2266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89853" w14:textId="3F7FFDBD" w:rsidR="006928C1" w:rsidRDefault="00D42FE8" w:rsidP="00D42FE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360671" wp14:editId="2FA1DB2B">
            <wp:extent cx="3279775" cy="231648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A4CFE" w14:textId="77777777" w:rsidR="00660515" w:rsidRDefault="00660515" w:rsidP="00D42FE8">
      <w:pPr>
        <w:jc w:val="both"/>
        <w:rPr>
          <w:b/>
          <w:bCs/>
          <w:sz w:val="24"/>
          <w:szCs w:val="24"/>
        </w:rPr>
      </w:pPr>
    </w:p>
    <w:p w14:paraId="4760A786" w14:textId="77777777" w:rsidR="00660515" w:rsidRDefault="00660515" w:rsidP="00D42FE8">
      <w:pPr>
        <w:jc w:val="both"/>
        <w:rPr>
          <w:b/>
          <w:bCs/>
          <w:sz w:val="24"/>
          <w:szCs w:val="24"/>
        </w:rPr>
      </w:pPr>
    </w:p>
    <w:p w14:paraId="595CCC31" w14:textId="77777777" w:rsidR="00660515" w:rsidRDefault="00660515" w:rsidP="00D42FE8">
      <w:pPr>
        <w:jc w:val="both"/>
        <w:rPr>
          <w:b/>
          <w:bCs/>
          <w:sz w:val="24"/>
          <w:szCs w:val="24"/>
        </w:rPr>
      </w:pPr>
    </w:p>
    <w:p w14:paraId="3D62B3EE" w14:textId="62079E9D" w:rsidR="00D42FE8" w:rsidRDefault="00D42FE8" w:rsidP="00D42FE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SnAr</w:t>
      </w:r>
      <w:r w:rsidRPr="009C3FAB">
        <w:rPr>
          <w:b/>
          <w:bCs/>
          <w:sz w:val="24"/>
          <w:szCs w:val="24"/>
        </w:rPr>
        <w:t>1</w:t>
      </w:r>
    </w:p>
    <w:p w14:paraId="7D2D708E" w14:textId="77777777" w:rsidR="0088668D" w:rsidRDefault="0088668D" w:rsidP="00D42FE8">
      <w:pPr>
        <w:jc w:val="both"/>
        <w:rPr>
          <w:b/>
          <w:bCs/>
          <w:sz w:val="24"/>
          <w:szCs w:val="24"/>
        </w:rPr>
      </w:pPr>
    </w:p>
    <w:tbl>
      <w:tblPr>
        <w:tblStyle w:val="TableGrid1"/>
        <w:tblW w:w="8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7904"/>
      </w:tblGrid>
      <w:tr w:rsidR="008253A0" w:rsidRPr="00734797" w14:paraId="552838A6" w14:textId="77777777" w:rsidTr="0088668D">
        <w:trPr>
          <w:trHeight w:val="1833"/>
          <w:jc w:val="center"/>
        </w:trPr>
        <w:tc>
          <w:tcPr>
            <w:tcW w:w="611" w:type="dxa"/>
          </w:tcPr>
          <w:p w14:paraId="15105DEB" w14:textId="06166D18" w:rsidR="008253A0" w:rsidRPr="00734797" w:rsidRDefault="008253A0" w:rsidP="00BD3BFF">
            <w:pPr>
              <w:jc w:val="center"/>
              <w:rPr>
                <w:szCs w:val="24"/>
              </w:rPr>
            </w:pPr>
            <w:r w:rsidRPr="00734797">
              <w:rPr>
                <w:szCs w:val="24"/>
              </w:rPr>
              <w:t>(ii)</w:t>
            </w:r>
          </w:p>
        </w:tc>
        <w:tc>
          <w:tcPr>
            <w:tcW w:w="7904" w:type="dxa"/>
            <w:vAlign w:val="center"/>
          </w:tcPr>
          <w:p w14:paraId="0495FE41" w14:textId="77777777" w:rsidR="008253A0" w:rsidRDefault="008253A0" w:rsidP="00BD3BFF">
            <w:pPr>
              <w:jc w:val="center"/>
              <w:rPr>
                <w:szCs w:val="24"/>
              </w:rPr>
            </w:pPr>
            <w:r w:rsidRPr="00734797">
              <w:rPr>
                <w:rFonts w:eastAsia="Times New Roman" w:cs="Arial"/>
                <w:szCs w:val="24"/>
                <w:lang w:eastAsia="en-GB"/>
              </w:rPr>
              <w:object w:dxaOrig="14200" w:dyaOrig="7526" w14:anchorId="2563E6B2">
                <v:shape id="_x0000_i1080" type="#_x0000_t75" style="width:327.75pt;height:174.75pt" o:ole="">
                  <v:imagedata r:id="rId9" o:title=""/>
                </v:shape>
                <o:OLEObject Type="Embed" ProgID="ChemDraw.Document.6.0" ShapeID="_x0000_i1080" DrawAspect="Content" ObjectID="_1684671096" r:id="rId10"/>
              </w:object>
            </w:r>
          </w:p>
          <w:p w14:paraId="0947B0F3" w14:textId="77777777" w:rsidR="008253A0" w:rsidRDefault="008253A0" w:rsidP="00BD3BFF">
            <w:pPr>
              <w:jc w:val="center"/>
              <w:rPr>
                <w:szCs w:val="24"/>
              </w:rPr>
            </w:pPr>
          </w:p>
          <w:p w14:paraId="1E5C09A2" w14:textId="77777777" w:rsidR="008253A0" w:rsidRDefault="008253A0" w:rsidP="008253A0">
            <w:pPr>
              <w:jc w:val="center"/>
              <w:rPr>
                <w:szCs w:val="24"/>
              </w:rPr>
            </w:pP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1</w:t>
            </w:r>
            <w:r w:rsidRPr="00734797"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= 1.6</w:t>
            </w:r>
            <w:r w:rsidRPr="00734797">
              <w:rPr>
                <w:szCs w:val="24"/>
              </w:rPr>
              <w:t xml:space="preserve"> × 10</w:t>
            </w:r>
            <w:r w:rsidRPr="00734797">
              <w:rPr>
                <w:szCs w:val="24"/>
                <w:vertAlign w:val="superscript"/>
              </w:rPr>
              <w:t>6</w:t>
            </w:r>
            <w:r w:rsidRPr="00734797">
              <w:rPr>
                <w:szCs w:val="24"/>
              </w:rPr>
              <w:t xml:space="preserve"> M</w:t>
            </w:r>
            <w:r w:rsidRPr="00734797">
              <w:rPr>
                <w:szCs w:val="24"/>
                <w:vertAlign w:val="superscript"/>
              </w:rPr>
              <w:t>-1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2</w:t>
            </w:r>
            <w:r>
              <w:rPr>
                <w:szCs w:val="24"/>
              </w:rPr>
              <w:t xml:space="preserve"> = 1.4</w:t>
            </w:r>
            <w:r w:rsidRPr="00734797">
              <w:rPr>
                <w:szCs w:val="24"/>
              </w:rPr>
              <w:t xml:space="preserve"> × 10</w:t>
            </w:r>
            <w:r w:rsidRPr="00734797">
              <w:rPr>
                <w:szCs w:val="24"/>
                <w:vertAlign w:val="superscript"/>
              </w:rPr>
              <w:t>4</w:t>
            </w:r>
            <w:r w:rsidRPr="00734797">
              <w:rPr>
                <w:szCs w:val="24"/>
              </w:rPr>
              <w:t xml:space="preserve"> M</w:t>
            </w:r>
            <w:r w:rsidRPr="00734797">
              <w:rPr>
                <w:szCs w:val="24"/>
                <w:vertAlign w:val="superscript"/>
              </w:rPr>
              <w:t>-1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3</w:t>
            </w:r>
            <w:r>
              <w:rPr>
                <w:szCs w:val="24"/>
              </w:rPr>
              <w:t xml:space="preserve"> = 1.0</w:t>
            </w:r>
            <w:r w:rsidRPr="00734797">
              <w:rPr>
                <w:szCs w:val="24"/>
              </w:rPr>
              <w:t xml:space="preserve"> × 10</w:t>
            </w:r>
            <w:r w:rsidRPr="00734797">
              <w:rPr>
                <w:szCs w:val="24"/>
                <w:vertAlign w:val="superscript"/>
              </w:rPr>
              <w:t>4</w:t>
            </w:r>
            <w:r w:rsidRPr="00734797">
              <w:rPr>
                <w:szCs w:val="24"/>
              </w:rPr>
              <w:t xml:space="preserve"> M</w:t>
            </w:r>
            <w:r w:rsidRPr="00734797">
              <w:rPr>
                <w:szCs w:val="24"/>
                <w:vertAlign w:val="superscript"/>
              </w:rPr>
              <w:t>-1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>,</w:t>
            </w:r>
          </w:p>
          <w:p w14:paraId="4BEA5DE6" w14:textId="18E1964E" w:rsidR="008253A0" w:rsidRDefault="008253A0" w:rsidP="008253A0">
            <w:pPr>
              <w:jc w:val="center"/>
              <w:rPr>
                <w:szCs w:val="24"/>
              </w:rPr>
            </w:pP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4</w:t>
            </w:r>
            <w:r>
              <w:rPr>
                <w:szCs w:val="24"/>
              </w:rPr>
              <w:t xml:space="preserve"> = 3.7</w:t>
            </w:r>
            <w:r w:rsidRPr="00734797">
              <w:rPr>
                <w:szCs w:val="24"/>
              </w:rPr>
              <w:t xml:space="preserve"> × 10</w:t>
            </w:r>
            <w:r w:rsidRPr="00734797">
              <w:rPr>
                <w:szCs w:val="24"/>
                <w:vertAlign w:val="superscript"/>
              </w:rPr>
              <w:t>8</w:t>
            </w:r>
            <w:r w:rsidRPr="00734797">
              <w:rPr>
                <w:szCs w:val="24"/>
              </w:rPr>
              <w:t xml:space="preserve"> M</w:t>
            </w:r>
            <w:r w:rsidRPr="00734797">
              <w:rPr>
                <w:szCs w:val="24"/>
                <w:vertAlign w:val="superscript"/>
              </w:rPr>
              <w:t>-1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a,1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43.2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a,2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35.3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>,</w:t>
            </w:r>
          </w:p>
          <w:p w14:paraId="65ED216D" w14:textId="1A6B383C" w:rsidR="008253A0" w:rsidRPr="008253A0" w:rsidRDefault="008253A0" w:rsidP="008253A0">
            <w:pPr>
              <w:jc w:val="center"/>
              <w:rPr>
                <w:szCs w:val="24"/>
                <w:vertAlign w:val="superscript"/>
              </w:rPr>
            </w:pP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a,3</w:t>
            </w:r>
            <w:r w:rsidRPr="00734797">
              <w:rPr>
                <w:szCs w:val="24"/>
              </w:rPr>
              <w:t xml:space="preserve"> = 40.8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a,4</w:t>
            </w:r>
            <w:r>
              <w:rPr>
                <w:szCs w:val="24"/>
              </w:rPr>
              <w:t xml:space="preserve"> = </w:t>
            </w:r>
            <w:r w:rsidRPr="00734797">
              <w:rPr>
                <w:szCs w:val="24"/>
              </w:rPr>
              <w:t>68.9 kJ mol</w:t>
            </w:r>
            <w:r w:rsidRPr="00734797">
              <w:rPr>
                <w:szCs w:val="24"/>
                <w:vertAlign w:val="superscript"/>
              </w:rPr>
              <w:t>-1</w:t>
            </w:r>
          </w:p>
        </w:tc>
      </w:tr>
    </w:tbl>
    <w:p w14:paraId="291C26B5" w14:textId="3805C69F" w:rsidR="006928C1" w:rsidRPr="00D42FE8" w:rsidRDefault="006928C1" w:rsidP="00C71E6B">
      <w:pPr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88668D" w14:paraId="2315E235" w14:textId="77777777" w:rsidTr="0088668D">
        <w:trPr>
          <w:jc w:val="center"/>
        </w:trPr>
        <w:tc>
          <w:tcPr>
            <w:tcW w:w="8494" w:type="dxa"/>
            <w:gridSpan w:val="2"/>
            <w:vAlign w:val="center"/>
          </w:tcPr>
          <w:p w14:paraId="7B35A453" w14:textId="77777777" w:rsidR="0088668D" w:rsidRPr="0088668D" w:rsidRDefault="0088668D" w:rsidP="00BD3B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3.18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3.19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%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3.20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14:paraId="639F8903" w14:textId="2A5ADF4F" w:rsidR="0088668D" w:rsidRDefault="0088668D" w:rsidP="00BD3BFF">
            <w:pPr>
              <w:jc w:val="center"/>
            </w:pPr>
          </w:p>
        </w:tc>
      </w:tr>
      <w:tr w:rsidR="0088668D" w14:paraId="2F86ACB1" w14:textId="77777777" w:rsidTr="0088668D">
        <w:trPr>
          <w:jc w:val="center"/>
        </w:trPr>
        <w:tc>
          <w:tcPr>
            <w:tcW w:w="1413" w:type="dxa"/>
          </w:tcPr>
          <w:p w14:paraId="1993D7E9" w14:textId="77777777" w:rsidR="0088668D" w:rsidRDefault="0088668D" w:rsidP="00BD3BFF">
            <w:pPr>
              <w:jc w:val="center"/>
            </w:pPr>
            <w:r>
              <w:t>subject to:</w:t>
            </w:r>
          </w:p>
        </w:tc>
        <w:tc>
          <w:tcPr>
            <w:tcW w:w="7081" w:type="dxa"/>
            <w:vAlign w:val="center"/>
          </w:tcPr>
          <w:p w14:paraId="57CEB227" w14:textId="77777777" w:rsidR="0088668D" w:rsidRDefault="0088668D" w:rsidP="00BD3BFF">
            <w:pPr>
              <w:spacing w:line="276" w:lineRule="auto"/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20]</w:t>
            </w:r>
          </w:p>
          <w:p w14:paraId="2F9557F6" w14:textId="77777777" w:rsidR="0088668D" w:rsidRDefault="0088668D" w:rsidP="00BD3BFF">
            <w:pPr>
              <w:spacing w:line="276" w:lineRule="auto"/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 xml:space="preserve">C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[60, 140]</w:t>
            </w:r>
          </w:p>
          <w:p w14:paraId="0F5C5163" w14:textId="77777777" w:rsidR="0088668D" w:rsidRDefault="0088668D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3.16</w:t>
            </w:r>
            <w:r>
              <w:t>]/M = 1</w:t>
            </w:r>
          </w:p>
          <w:p w14:paraId="63AAEE59" w14:textId="77777777" w:rsidR="0088668D" w:rsidRPr="00516634" w:rsidRDefault="0088668D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3.17</w:t>
            </w:r>
            <w:r>
              <w:t>]/M = 3</w:t>
            </w:r>
          </w:p>
        </w:tc>
      </w:tr>
    </w:tbl>
    <w:p w14:paraId="50A18592" w14:textId="214FFB24" w:rsidR="006928C1" w:rsidRDefault="006928C1" w:rsidP="00C71E6B">
      <w:pPr>
        <w:jc w:val="both"/>
        <w:rPr>
          <w:b/>
          <w:bCs/>
        </w:rPr>
      </w:pPr>
    </w:p>
    <w:p w14:paraId="14624E86" w14:textId="25640A80" w:rsidR="008253A0" w:rsidRDefault="0088668D" w:rsidP="0088668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F385B4" wp14:editId="5E5CFC84">
            <wp:extent cx="3880883" cy="2435804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03" cy="2445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0CEEE" w14:textId="57954F36" w:rsidR="006928C1" w:rsidRDefault="0088668D" w:rsidP="0088668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0CB026" wp14:editId="7FCE59FF">
            <wp:extent cx="3455719" cy="2677971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44" cy="268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7F6F1" w14:textId="68794414" w:rsidR="006928C1" w:rsidRDefault="006928C1" w:rsidP="00C71E6B">
      <w:pPr>
        <w:jc w:val="both"/>
        <w:rPr>
          <w:b/>
          <w:bCs/>
        </w:rPr>
      </w:pPr>
    </w:p>
    <w:p w14:paraId="0CF17E27" w14:textId="54E43751" w:rsidR="0088668D" w:rsidRDefault="0088668D" w:rsidP="008866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SnAr</w:t>
      </w:r>
      <w:r>
        <w:rPr>
          <w:b/>
          <w:bCs/>
          <w:sz w:val="24"/>
          <w:szCs w:val="24"/>
        </w:rPr>
        <w:t>2</w:t>
      </w:r>
    </w:p>
    <w:p w14:paraId="522AF80A" w14:textId="77777777" w:rsidR="0081244D" w:rsidRDefault="0081244D" w:rsidP="0088668D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81244D" w14:paraId="4E7B1AE1" w14:textId="77777777" w:rsidTr="0081244D">
        <w:trPr>
          <w:jc w:val="center"/>
        </w:trPr>
        <w:tc>
          <w:tcPr>
            <w:tcW w:w="8494" w:type="dxa"/>
            <w:gridSpan w:val="2"/>
            <w:vAlign w:val="center"/>
          </w:tcPr>
          <w:p w14:paraId="6B1C025A" w14:textId="77777777" w:rsidR="0081244D" w:rsidRPr="00966443" w:rsidRDefault="0081244D" w:rsidP="00BD3B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3.19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RME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STY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14:paraId="542C99D5" w14:textId="1B3C15C6" w:rsidR="00966443" w:rsidRDefault="00966443" w:rsidP="00BD3BFF">
            <w:pPr>
              <w:jc w:val="center"/>
            </w:pPr>
          </w:p>
        </w:tc>
      </w:tr>
      <w:tr w:rsidR="0081244D" w14:paraId="0FFB9A2A" w14:textId="77777777" w:rsidTr="0081244D">
        <w:trPr>
          <w:jc w:val="center"/>
        </w:trPr>
        <w:tc>
          <w:tcPr>
            <w:tcW w:w="1413" w:type="dxa"/>
          </w:tcPr>
          <w:p w14:paraId="63C316AF" w14:textId="77777777" w:rsidR="0081244D" w:rsidRDefault="0081244D" w:rsidP="00BD3BFF">
            <w:pPr>
              <w:jc w:val="center"/>
            </w:pPr>
            <w:r>
              <w:t>subject to:</w:t>
            </w:r>
          </w:p>
        </w:tc>
        <w:tc>
          <w:tcPr>
            <w:tcW w:w="7081" w:type="dxa"/>
            <w:vAlign w:val="center"/>
          </w:tcPr>
          <w:p w14:paraId="4E4A1575" w14:textId="77777777" w:rsidR="0081244D" w:rsidRDefault="0081244D" w:rsidP="00BD3BFF">
            <w:pPr>
              <w:spacing w:line="276" w:lineRule="auto"/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2]</w:t>
            </w:r>
          </w:p>
          <w:p w14:paraId="0B261A33" w14:textId="77777777" w:rsidR="0081244D" w:rsidRDefault="0081244D" w:rsidP="00BD3BFF">
            <w:pPr>
              <w:spacing w:line="276" w:lineRule="auto"/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 xml:space="preserve">C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[60, 140]</w:t>
            </w:r>
          </w:p>
          <w:p w14:paraId="4FC7D132" w14:textId="77777777" w:rsidR="0081244D" w:rsidRDefault="0081244D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3.16</w:t>
            </w:r>
            <w:r>
              <w:t xml:space="preserve">]/M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[0.1, 2.0]</w:t>
            </w:r>
          </w:p>
          <w:p w14:paraId="3FB14D9F" w14:textId="77777777" w:rsidR="0081244D" w:rsidRPr="00516634" w:rsidRDefault="0081244D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3.17</w:t>
            </w:r>
            <w:r>
              <w:t xml:space="preserve">]/M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[2, 5]</w:t>
            </w:r>
          </w:p>
        </w:tc>
      </w:tr>
    </w:tbl>
    <w:p w14:paraId="129A19D6" w14:textId="5C96A30D" w:rsidR="0088668D" w:rsidRDefault="0088668D" w:rsidP="0088668D">
      <w:pPr>
        <w:jc w:val="both"/>
        <w:rPr>
          <w:b/>
          <w:bCs/>
          <w:sz w:val="24"/>
          <w:szCs w:val="24"/>
        </w:rPr>
      </w:pPr>
    </w:p>
    <w:p w14:paraId="19FA22BC" w14:textId="6C3E20C3" w:rsidR="0081244D" w:rsidRDefault="0081244D" w:rsidP="0081244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7BBA66" wp14:editId="73AAA1B6">
            <wp:extent cx="3368891" cy="238694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66" cy="238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5ACE1" w14:textId="06E65D60" w:rsidR="006928C1" w:rsidRDefault="006928C1" w:rsidP="00C71E6B">
      <w:pPr>
        <w:jc w:val="both"/>
        <w:rPr>
          <w:b/>
          <w:bCs/>
        </w:rPr>
      </w:pPr>
    </w:p>
    <w:p w14:paraId="552770FC" w14:textId="77777777" w:rsidR="00660515" w:rsidRDefault="00660515" w:rsidP="00C71E6B">
      <w:pPr>
        <w:jc w:val="both"/>
        <w:rPr>
          <w:b/>
          <w:bCs/>
          <w:sz w:val="24"/>
          <w:szCs w:val="24"/>
        </w:rPr>
      </w:pPr>
    </w:p>
    <w:p w14:paraId="0BB286C6" w14:textId="77777777" w:rsidR="00660515" w:rsidRDefault="00660515" w:rsidP="00C71E6B">
      <w:pPr>
        <w:jc w:val="both"/>
        <w:rPr>
          <w:b/>
          <w:bCs/>
          <w:sz w:val="24"/>
          <w:szCs w:val="24"/>
        </w:rPr>
      </w:pPr>
    </w:p>
    <w:p w14:paraId="3C99BF16" w14:textId="77777777" w:rsidR="00660515" w:rsidRDefault="00660515" w:rsidP="00C71E6B">
      <w:pPr>
        <w:jc w:val="both"/>
        <w:rPr>
          <w:b/>
          <w:bCs/>
          <w:sz w:val="24"/>
          <w:szCs w:val="24"/>
        </w:rPr>
      </w:pPr>
    </w:p>
    <w:p w14:paraId="4E98F0E2" w14:textId="5AE920BC" w:rsidR="0081244D" w:rsidRDefault="00966443" w:rsidP="00C71E6B">
      <w:pPr>
        <w:jc w:val="both"/>
        <w:rPr>
          <w:b/>
          <w:bCs/>
          <w:sz w:val="24"/>
          <w:szCs w:val="24"/>
        </w:rPr>
      </w:pPr>
      <w:r w:rsidRPr="00966443">
        <w:rPr>
          <w:b/>
          <w:bCs/>
          <w:sz w:val="24"/>
          <w:szCs w:val="24"/>
        </w:rPr>
        <w:lastRenderedPageBreak/>
        <w:t>Lactose1</w:t>
      </w:r>
    </w:p>
    <w:p w14:paraId="6F774F13" w14:textId="77777777" w:rsidR="006F74B3" w:rsidRPr="00966443" w:rsidRDefault="006F74B3" w:rsidP="00C71E6B">
      <w:pPr>
        <w:jc w:val="both"/>
        <w:rPr>
          <w:b/>
          <w:bCs/>
          <w:sz w:val="24"/>
          <w:szCs w:val="24"/>
        </w:rPr>
      </w:pPr>
    </w:p>
    <w:tbl>
      <w:tblPr>
        <w:tblStyle w:val="TableGrid1"/>
        <w:tblW w:w="8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7904"/>
      </w:tblGrid>
      <w:tr w:rsidR="00966443" w:rsidRPr="00734797" w14:paraId="40961BB6" w14:textId="77777777" w:rsidTr="00966443">
        <w:trPr>
          <w:trHeight w:val="4098"/>
          <w:jc w:val="center"/>
        </w:trPr>
        <w:tc>
          <w:tcPr>
            <w:tcW w:w="611" w:type="dxa"/>
          </w:tcPr>
          <w:p w14:paraId="240D7243" w14:textId="77777777" w:rsidR="00966443" w:rsidRPr="00734797" w:rsidRDefault="00966443" w:rsidP="00BD3BFF">
            <w:pPr>
              <w:jc w:val="center"/>
              <w:rPr>
                <w:szCs w:val="24"/>
              </w:rPr>
            </w:pPr>
            <w:r w:rsidRPr="00734797">
              <w:rPr>
                <w:szCs w:val="24"/>
              </w:rPr>
              <w:t>(iii)</w:t>
            </w:r>
          </w:p>
        </w:tc>
        <w:tc>
          <w:tcPr>
            <w:tcW w:w="7904" w:type="dxa"/>
            <w:vAlign w:val="center"/>
          </w:tcPr>
          <w:p w14:paraId="32E53A40" w14:textId="77777777" w:rsidR="00966443" w:rsidRDefault="00966443" w:rsidP="00BD3BFF">
            <w:pPr>
              <w:jc w:val="center"/>
              <w:rPr>
                <w:szCs w:val="24"/>
              </w:rPr>
            </w:pPr>
            <w:r w:rsidRPr="00734797">
              <w:rPr>
                <w:rFonts w:eastAsia="Times New Roman" w:cs="Arial"/>
                <w:szCs w:val="24"/>
                <w:lang w:eastAsia="en-GB"/>
              </w:rPr>
              <w:object w:dxaOrig="8699" w:dyaOrig="6131" w14:anchorId="74C9EF0D">
                <v:shape id="_x0000_i1089" type="#_x0000_t75" style="width:328.5pt;height:230.25pt" o:ole="">
                  <v:imagedata r:id="rId14" o:title=""/>
                </v:shape>
                <o:OLEObject Type="Embed" ProgID="ChemDraw.Document.6.0" ShapeID="_x0000_i1089" DrawAspect="Content" ObjectID="_1684671097" r:id="rId15"/>
              </w:object>
            </w:r>
          </w:p>
          <w:p w14:paraId="1EF86EC9" w14:textId="77777777" w:rsidR="00966443" w:rsidRDefault="00966443" w:rsidP="00BD3BFF">
            <w:pPr>
              <w:jc w:val="center"/>
              <w:rPr>
                <w:szCs w:val="24"/>
              </w:rPr>
            </w:pPr>
          </w:p>
          <w:p w14:paraId="3BBEDE13" w14:textId="6BB88F8B" w:rsidR="00966443" w:rsidRDefault="00966443" w:rsidP="00966443">
            <w:pPr>
              <w:jc w:val="center"/>
              <w:rPr>
                <w:szCs w:val="24"/>
              </w:rPr>
            </w:pPr>
            <w:r w:rsidRPr="00734797">
              <w:rPr>
                <w:szCs w:val="24"/>
              </w:rPr>
              <w:t>pH = 11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1</w:t>
            </w:r>
            <w:r w:rsidRPr="00734797">
              <w:rPr>
                <w:szCs w:val="24"/>
              </w:rPr>
              <w:t xml:space="preserve"> = 9.5 × 10</w:t>
            </w:r>
            <w:r w:rsidRPr="00734797">
              <w:rPr>
                <w:szCs w:val="24"/>
                <w:vertAlign w:val="superscript"/>
              </w:rPr>
              <w:t>14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2</w:t>
            </w:r>
            <w:r w:rsidRPr="00734797">
              <w:rPr>
                <w:szCs w:val="24"/>
              </w:rPr>
              <w:t xml:space="preserve"> = 7.0 × 10</w:t>
            </w:r>
            <w:r w:rsidRPr="00734797">
              <w:rPr>
                <w:szCs w:val="24"/>
                <w:vertAlign w:val="superscript"/>
              </w:rPr>
              <w:t>24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3</w:t>
            </w:r>
            <w:r w:rsidRPr="00734797">
              <w:rPr>
                <w:szCs w:val="24"/>
              </w:rPr>
              <w:t xml:space="preserve"> = 4.0 × 10</w:t>
            </w:r>
            <w:r w:rsidRPr="00734797">
              <w:rPr>
                <w:szCs w:val="24"/>
                <w:vertAlign w:val="superscript"/>
              </w:rPr>
              <w:t>7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>,</w:t>
            </w:r>
          </w:p>
          <w:p w14:paraId="561361A7" w14:textId="2267AFB9" w:rsidR="00966443" w:rsidRPr="00966443" w:rsidRDefault="00966443" w:rsidP="00966443">
            <w:pPr>
              <w:jc w:val="center"/>
              <w:rPr>
                <w:szCs w:val="24"/>
                <w:vertAlign w:val="superscript"/>
              </w:rPr>
            </w:pP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a,1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105.1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a,2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174.0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a,3</w:t>
            </w:r>
            <w:r w:rsidRPr="00734797">
              <w:rPr>
                <w:szCs w:val="24"/>
              </w:rPr>
              <w:t xml:space="preserve"> = 54.9 kJ mol</w:t>
            </w:r>
            <w:r w:rsidRPr="00734797">
              <w:rPr>
                <w:szCs w:val="24"/>
                <w:vertAlign w:val="superscript"/>
              </w:rPr>
              <w:t>-1</w:t>
            </w:r>
          </w:p>
        </w:tc>
      </w:tr>
    </w:tbl>
    <w:p w14:paraId="42D1A7B7" w14:textId="001BEB1B" w:rsidR="006928C1" w:rsidRDefault="006928C1" w:rsidP="00C71E6B">
      <w:pPr>
        <w:jc w:val="both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966443" w14:paraId="5FFC0D54" w14:textId="77777777" w:rsidTr="00966443">
        <w:trPr>
          <w:jc w:val="center"/>
        </w:trPr>
        <w:tc>
          <w:tcPr>
            <w:tcW w:w="8494" w:type="dxa"/>
            <w:gridSpan w:val="2"/>
            <w:vAlign w:val="center"/>
          </w:tcPr>
          <w:p w14:paraId="23DC67B0" w14:textId="77777777" w:rsidR="00966443" w:rsidRPr="00966443" w:rsidRDefault="00966443" w:rsidP="00BD3B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3.22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3.23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75084302" w14:textId="2C932418" w:rsidR="00966443" w:rsidRDefault="00966443" w:rsidP="00BD3BFF">
            <w:pPr>
              <w:jc w:val="center"/>
            </w:pPr>
          </w:p>
        </w:tc>
      </w:tr>
      <w:tr w:rsidR="00966443" w:rsidRPr="00516634" w14:paraId="0EA80E32" w14:textId="77777777" w:rsidTr="00966443">
        <w:trPr>
          <w:jc w:val="center"/>
        </w:trPr>
        <w:tc>
          <w:tcPr>
            <w:tcW w:w="1413" w:type="dxa"/>
          </w:tcPr>
          <w:p w14:paraId="63984AB2" w14:textId="77777777" w:rsidR="00966443" w:rsidRDefault="00966443" w:rsidP="00BD3BFF">
            <w:pPr>
              <w:jc w:val="center"/>
            </w:pPr>
            <w:r>
              <w:t>subject to:</w:t>
            </w:r>
          </w:p>
        </w:tc>
        <w:tc>
          <w:tcPr>
            <w:tcW w:w="7081" w:type="dxa"/>
            <w:vAlign w:val="center"/>
          </w:tcPr>
          <w:p w14:paraId="6476802E" w14:textId="77777777" w:rsidR="00966443" w:rsidRDefault="00966443" w:rsidP="00BD3BFF">
            <w:pPr>
              <w:spacing w:line="276" w:lineRule="auto"/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10]</w:t>
            </w:r>
          </w:p>
          <w:p w14:paraId="312045AB" w14:textId="77777777" w:rsidR="00966443" w:rsidRDefault="00966443" w:rsidP="00BD3BFF">
            <w:pPr>
              <w:spacing w:line="276" w:lineRule="auto"/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 xml:space="preserve">C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[25, 100]</w:t>
            </w:r>
          </w:p>
          <w:p w14:paraId="3E1D8C9C" w14:textId="77777777" w:rsidR="00966443" w:rsidRPr="00516634" w:rsidRDefault="00966443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3.21</w:t>
            </w:r>
            <w:r>
              <w:t xml:space="preserve">]/M </w:t>
            </w:r>
            <w:r>
              <w:rPr>
                <w:rFonts w:ascii="Cambria Math" w:hAnsi="Cambria Math" w:cs="Cambria Math"/>
              </w:rPr>
              <w:t>=</w:t>
            </w:r>
            <w:r>
              <w:t xml:space="preserve"> 1</w:t>
            </w:r>
          </w:p>
        </w:tc>
      </w:tr>
    </w:tbl>
    <w:p w14:paraId="4A171332" w14:textId="72483B55" w:rsidR="006928C1" w:rsidRDefault="006928C1" w:rsidP="00C71E6B">
      <w:pPr>
        <w:jc w:val="both"/>
        <w:rPr>
          <w:b/>
          <w:bCs/>
        </w:rPr>
      </w:pPr>
    </w:p>
    <w:p w14:paraId="58190FC2" w14:textId="3404DA77" w:rsidR="006928C1" w:rsidRDefault="00966443" w:rsidP="0096644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B1EE0F" wp14:editId="20067D62">
            <wp:extent cx="3461238" cy="2339992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26" cy="235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DD41C" w14:textId="13FB9379" w:rsidR="00966443" w:rsidRDefault="00966443" w:rsidP="00966443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168807" wp14:editId="326D2A1E">
            <wp:extent cx="3035935" cy="217043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53671" w14:textId="21164A58" w:rsidR="00F32095" w:rsidRDefault="00F32095" w:rsidP="00966443">
      <w:pPr>
        <w:jc w:val="center"/>
        <w:rPr>
          <w:b/>
          <w:bCs/>
        </w:rPr>
      </w:pPr>
    </w:p>
    <w:p w14:paraId="6ED492F1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28BAEBF7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30DF8F44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7995607F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1188CC39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10B006FD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0B8E82B0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0CB6A4E8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36395B64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638AD28E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5B29FDFE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62B389B4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28562EEE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48F6DB6D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38499F53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6226F568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509499F1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647DC3FA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3358352B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469A3414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5AD92500" w14:textId="77777777" w:rsidR="00660515" w:rsidRDefault="00660515" w:rsidP="00F32095">
      <w:pPr>
        <w:jc w:val="both"/>
        <w:rPr>
          <w:b/>
          <w:bCs/>
          <w:sz w:val="24"/>
          <w:szCs w:val="24"/>
        </w:rPr>
      </w:pPr>
    </w:p>
    <w:p w14:paraId="115800CD" w14:textId="24CCAB6C" w:rsidR="00F32095" w:rsidRPr="00966443" w:rsidRDefault="00F32095" w:rsidP="00F320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PK</w:t>
      </w:r>
      <w:r w:rsidRPr="00966443">
        <w:rPr>
          <w:b/>
          <w:bCs/>
          <w:sz w:val="24"/>
          <w:szCs w:val="24"/>
        </w:rPr>
        <w:t>1</w:t>
      </w:r>
    </w:p>
    <w:p w14:paraId="6F2EDBC5" w14:textId="77777777" w:rsidR="00F32095" w:rsidRDefault="00F32095" w:rsidP="00F32095">
      <w:pPr>
        <w:jc w:val="both"/>
        <w:rPr>
          <w:b/>
          <w:bCs/>
        </w:rPr>
      </w:pPr>
    </w:p>
    <w:tbl>
      <w:tblPr>
        <w:tblStyle w:val="TableGrid1"/>
        <w:tblW w:w="85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7904"/>
      </w:tblGrid>
      <w:tr w:rsidR="00F32095" w:rsidRPr="00734797" w14:paraId="0D832003" w14:textId="77777777" w:rsidTr="00F32095">
        <w:trPr>
          <w:trHeight w:val="3107"/>
          <w:jc w:val="center"/>
        </w:trPr>
        <w:tc>
          <w:tcPr>
            <w:tcW w:w="611" w:type="dxa"/>
          </w:tcPr>
          <w:p w14:paraId="7EDE1FC3" w14:textId="77777777" w:rsidR="00F32095" w:rsidRPr="00734797" w:rsidRDefault="00F32095" w:rsidP="00BD3BFF">
            <w:pPr>
              <w:jc w:val="center"/>
              <w:rPr>
                <w:szCs w:val="24"/>
              </w:rPr>
            </w:pPr>
            <w:r w:rsidRPr="00734797">
              <w:rPr>
                <w:szCs w:val="24"/>
              </w:rPr>
              <w:t>(iv)</w:t>
            </w:r>
          </w:p>
        </w:tc>
        <w:tc>
          <w:tcPr>
            <w:tcW w:w="7904" w:type="dxa"/>
            <w:vAlign w:val="center"/>
          </w:tcPr>
          <w:p w14:paraId="2A758449" w14:textId="77777777" w:rsidR="00F32095" w:rsidRDefault="00F32095" w:rsidP="00BD3BFF">
            <w:pPr>
              <w:jc w:val="center"/>
              <w:rPr>
                <w:szCs w:val="24"/>
              </w:rPr>
            </w:pPr>
            <w:r w:rsidRPr="00734797">
              <w:rPr>
                <w:rFonts w:eastAsia="Times New Roman" w:cs="Arial"/>
                <w:szCs w:val="24"/>
                <w:lang w:eastAsia="en-GB"/>
              </w:rPr>
              <w:object w:dxaOrig="8191" w:dyaOrig="4288" w14:anchorId="64881B6D">
                <v:shape id="_x0000_i1107" type="#_x0000_t75" style="width:337.5pt;height:177.75pt" o:ole="">
                  <v:imagedata r:id="rId18" o:title=""/>
                </v:shape>
                <o:OLEObject Type="Embed" ProgID="ChemDraw.Document.6.0" ShapeID="_x0000_i1107" DrawAspect="Content" ObjectID="_1684671098" r:id="rId19"/>
              </w:object>
            </w:r>
          </w:p>
          <w:p w14:paraId="7960B584" w14:textId="77777777" w:rsidR="00F32095" w:rsidRDefault="00F32095" w:rsidP="00BD3BFF">
            <w:pPr>
              <w:jc w:val="center"/>
              <w:rPr>
                <w:szCs w:val="24"/>
              </w:rPr>
            </w:pPr>
          </w:p>
          <w:p w14:paraId="0E20705C" w14:textId="77777777" w:rsidR="00F32095" w:rsidRPr="00734797" w:rsidRDefault="00F32095" w:rsidP="00F32095">
            <w:pPr>
              <w:keepNext/>
              <w:jc w:val="center"/>
              <w:rPr>
                <w:szCs w:val="24"/>
                <w:vertAlign w:val="superscript"/>
              </w:rPr>
            </w:pP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1</w:t>
            </w:r>
            <w:r w:rsidRPr="00734797">
              <w:rPr>
                <w:szCs w:val="24"/>
              </w:rPr>
              <w:t xml:space="preserve"> = </w:t>
            </w:r>
            <w:r>
              <w:rPr>
                <w:szCs w:val="24"/>
              </w:rPr>
              <w:t>15.4</w:t>
            </w:r>
            <w:r w:rsidRPr="00734797">
              <w:rPr>
                <w:szCs w:val="24"/>
              </w:rPr>
              <w:t xml:space="preserve"> M</w:t>
            </w:r>
            <w:r w:rsidRPr="00734797">
              <w:rPr>
                <w:szCs w:val="24"/>
                <w:vertAlign w:val="superscript"/>
              </w:rPr>
              <w:t>-1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A</w:t>
            </w:r>
            <w:r w:rsidRPr="00734797">
              <w:rPr>
                <w:i/>
                <w:szCs w:val="24"/>
                <w:vertAlign w:val="subscript"/>
              </w:rPr>
              <w:t>2</w:t>
            </w:r>
            <w:r>
              <w:rPr>
                <w:szCs w:val="24"/>
              </w:rPr>
              <w:t xml:space="preserve"> = 405.2</w:t>
            </w:r>
            <w:r w:rsidRPr="00734797">
              <w:rPr>
                <w:szCs w:val="24"/>
              </w:rPr>
              <w:t xml:space="preserve"> min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a,1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12.2 kJ mol</w:t>
            </w:r>
            <w:r w:rsidRPr="00734797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 xml:space="preserve">, </w:t>
            </w:r>
            <w:r w:rsidRPr="00734797">
              <w:rPr>
                <w:i/>
                <w:szCs w:val="24"/>
              </w:rPr>
              <w:t>E</w:t>
            </w:r>
            <w:r w:rsidRPr="00734797">
              <w:rPr>
                <w:i/>
                <w:szCs w:val="24"/>
                <w:vertAlign w:val="subscript"/>
              </w:rPr>
              <w:t>a,2</w:t>
            </w:r>
            <w:r w:rsidRPr="00734797">
              <w:rPr>
                <w:szCs w:val="24"/>
                <w:vertAlign w:val="subscript"/>
              </w:rPr>
              <w:t xml:space="preserve"> </w:t>
            </w:r>
            <w:r w:rsidRPr="00734797">
              <w:rPr>
                <w:szCs w:val="24"/>
              </w:rPr>
              <w:t>= 20.0 kJ mol</w:t>
            </w:r>
            <w:r w:rsidRPr="00734797">
              <w:rPr>
                <w:szCs w:val="24"/>
                <w:vertAlign w:val="superscript"/>
              </w:rPr>
              <w:t>-1</w:t>
            </w:r>
          </w:p>
        </w:tc>
      </w:tr>
    </w:tbl>
    <w:p w14:paraId="0FD92F91" w14:textId="1A027D42" w:rsidR="006928C1" w:rsidRDefault="006928C1" w:rsidP="00C71E6B">
      <w:pPr>
        <w:jc w:val="both"/>
        <w:rPr>
          <w:b/>
          <w:bCs/>
        </w:rPr>
      </w:pPr>
    </w:p>
    <w:p w14:paraId="6C8C0D90" w14:textId="53F13D2E" w:rsidR="006928C1" w:rsidRDefault="006928C1" w:rsidP="00C71E6B">
      <w:pPr>
        <w:jc w:val="both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F32095" w14:paraId="705B05F4" w14:textId="77777777" w:rsidTr="00F32095">
        <w:trPr>
          <w:jc w:val="center"/>
        </w:trPr>
        <w:tc>
          <w:tcPr>
            <w:tcW w:w="8494" w:type="dxa"/>
            <w:gridSpan w:val="2"/>
            <w:vAlign w:val="center"/>
          </w:tcPr>
          <w:p w14:paraId="1AE43752" w14:textId="77777777" w:rsidR="00F32095" w:rsidRPr="00F32095" w:rsidRDefault="00F32095" w:rsidP="00BD3B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RME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692609E9" w14:textId="5BD87A99" w:rsidR="00F32095" w:rsidRDefault="00F32095" w:rsidP="00BD3BFF">
            <w:pPr>
              <w:jc w:val="center"/>
            </w:pPr>
          </w:p>
        </w:tc>
      </w:tr>
      <w:tr w:rsidR="00F32095" w14:paraId="6CE28D66" w14:textId="77777777" w:rsidTr="00F32095">
        <w:trPr>
          <w:jc w:val="center"/>
        </w:trPr>
        <w:tc>
          <w:tcPr>
            <w:tcW w:w="1413" w:type="dxa"/>
          </w:tcPr>
          <w:p w14:paraId="6F005374" w14:textId="77777777" w:rsidR="00F32095" w:rsidRDefault="00F32095" w:rsidP="00BD3BFF">
            <w:pPr>
              <w:jc w:val="center"/>
            </w:pPr>
            <w:r>
              <w:t>subject to:</w:t>
            </w:r>
          </w:p>
        </w:tc>
        <w:tc>
          <w:tcPr>
            <w:tcW w:w="7081" w:type="dxa"/>
            <w:vAlign w:val="center"/>
          </w:tcPr>
          <w:p w14:paraId="7A8E860B" w14:textId="77777777" w:rsidR="00F32095" w:rsidRDefault="00F32095" w:rsidP="00BD3BFF">
            <w:pPr>
              <w:spacing w:line="276" w:lineRule="auto"/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2]</w:t>
            </w:r>
          </w:p>
          <w:p w14:paraId="48B94C68" w14:textId="77777777" w:rsidR="00F32095" w:rsidRDefault="00F32095" w:rsidP="00BD3BFF">
            <w:pPr>
              <w:spacing w:line="276" w:lineRule="auto"/>
              <w:jc w:val="center"/>
            </w:pPr>
            <w:r>
              <w:t xml:space="preserve">Equivalents of </w:t>
            </w:r>
            <w:r>
              <w:rPr>
                <w:b/>
              </w:rPr>
              <w:t>3.25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[1, 10]</w:t>
            </w:r>
          </w:p>
          <w:p w14:paraId="07B507BA" w14:textId="77777777" w:rsidR="00F32095" w:rsidRPr="00006A97" w:rsidRDefault="00F32095" w:rsidP="00BD3BFF">
            <w:pPr>
              <w:spacing w:line="276" w:lineRule="auto"/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>C = 50</w:t>
            </w:r>
          </w:p>
          <w:p w14:paraId="46F62B29" w14:textId="77777777" w:rsidR="00F32095" w:rsidRPr="00516634" w:rsidRDefault="00F32095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3.24</w:t>
            </w:r>
            <w:r>
              <w:t xml:space="preserve">]/M </w:t>
            </w:r>
            <w:r>
              <w:rPr>
                <w:rFonts w:ascii="Cambria Math" w:hAnsi="Cambria Math" w:cs="Cambria Math"/>
              </w:rPr>
              <w:t>=</w:t>
            </w:r>
            <w:r>
              <w:t xml:space="preserve"> 1</w:t>
            </w:r>
          </w:p>
        </w:tc>
      </w:tr>
    </w:tbl>
    <w:p w14:paraId="3B34C16C" w14:textId="77777777" w:rsidR="00F32095" w:rsidRDefault="00F32095" w:rsidP="00C71E6B">
      <w:pPr>
        <w:jc w:val="both"/>
        <w:rPr>
          <w:b/>
          <w:bCs/>
        </w:rPr>
      </w:pPr>
    </w:p>
    <w:p w14:paraId="3188FCDE" w14:textId="0381BB52" w:rsidR="006928C1" w:rsidRDefault="00F32095" w:rsidP="00F3209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FBF03D" wp14:editId="363C1786">
            <wp:extent cx="3508744" cy="2331632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46" cy="2341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185F9" w14:textId="5BAD7B72" w:rsidR="006928C1" w:rsidRDefault="006928C1" w:rsidP="00C71E6B">
      <w:pPr>
        <w:jc w:val="both"/>
        <w:rPr>
          <w:b/>
          <w:bCs/>
        </w:rPr>
      </w:pPr>
    </w:p>
    <w:p w14:paraId="2965A406" w14:textId="2E25EE53" w:rsidR="006928C1" w:rsidRDefault="00F32095" w:rsidP="00F3209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34C3F7" wp14:editId="034E9E18">
            <wp:extent cx="2952300" cy="2220686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69" cy="222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849ED" w14:textId="418909DD" w:rsidR="00F32095" w:rsidRDefault="00F32095" w:rsidP="00F320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>2</w:t>
      </w:r>
    </w:p>
    <w:p w14:paraId="414C3BB3" w14:textId="77777777" w:rsidR="006F74B3" w:rsidRDefault="006F74B3" w:rsidP="00F32095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F32095" w14:paraId="7DB91B6A" w14:textId="77777777" w:rsidTr="00F32095">
        <w:trPr>
          <w:jc w:val="center"/>
        </w:trPr>
        <w:tc>
          <w:tcPr>
            <w:tcW w:w="8494" w:type="dxa"/>
            <w:gridSpan w:val="2"/>
            <w:vAlign w:val="center"/>
          </w:tcPr>
          <w:p w14:paraId="7C581B7D" w14:textId="77777777" w:rsidR="00F32095" w:rsidRPr="00F32095" w:rsidRDefault="00F32095" w:rsidP="00BD3BF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minimise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%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3.26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STY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5EB82C15" w14:textId="7E78D389" w:rsidR="00F32095" w:rsidRDefault="00F32095" w:rsidP="00BD3BFF">
            <w:pPr>
              <w:jc w:val="center"/>
            </w:pPr>
          </w:p>
        </w:tc>
      </w:tr>
      <w:tr w:rsidR="00F32095" w14:paraId="393B1FF5" w14:textId="77777777" w:rsidTr="00F32095">
        <w:trPr>
          <w:jc w:val="center"/>
        </w:trPr>
        <w:tc>
          <w:tcPr>
            <w:tcW w:w="1413" w:type="dxa"/>
          </w:tcPr>
          <w:p w14:paraId="415DA652" w14:textId="77777777" w:rsidR="00F32095" w:rsidRDefault="00F32095" w:rsidP="00BD3BFF">
            <w:pPr>
              <w:jc w:val="center"/>
            </w:pPr>
            <w:r>
              <w:t>subject to:</w:t>
            </w:r>
          </w:p>
        </w:tc>
        <w:tc>
          <w:tcPr>
            <w:tcW w:w="7081" w:type="dxa"/>
            <w:vAlign w:val="center"/>
          </w:tcPr>
          <w:p w14:paraId="40C27886" w14:textId="77777777" w:rsidR="00F32095" w:rsidRDefault="00F32095" w:rsidP="00BD3BFF">
            <w:pPr>
              <w:spacing w:line="276" w:lineRule="auto"/>
              <w:jc w:val="center"/>
            </w:pPr>
            <w:r>
              <w:t xml:space="preserve">Residence time/min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[0.5, 2]</w:t>
            </w:r>
          </w:p>
          <w:p w14:paraId="7F967342" w14:textId="77777777" w:rsidR="00F32095" w:rsidRDefault="00F32095" w:rsidP="00BD3BFF">
            <w:pPr>
              <w:spacing w:line="276" w:lineRule="auto"/>
              <w:jc w:val="center"/>
            </w:pPr>
            <w:r>
              <w:t>Temperature/</w:t>
            </w:r>
            <w:r>
              <w:rPr>
                <w:rFonts w:ascii="Calibri" w:hAnsi="Calibri"/>
              </w:rPr>
              <w:t>°</w:t>
            </w:r>
            <w:r>
              <w:t xml:space="preserve">C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[25, 150]</w:t>
            </w:r>
          </w:p>
          <w:p w14:paraId="49D0AF3A" w14:textId="77777777" w:rsidR="00F32095" w:rsidRDefault="00F32095" w:rsidP="00BD3BFF">
            <w:pPr>
              <w:spacing w:line="276" w:lineRule="auto"/>
              <w:jc w:val="center"/>
            </w:pPr>
            <w:r>
              <w:t xml:space="preserve">Equivalents of </w:t>
            </w:r>
            <w:r>
              <w:rPr>
                <w:b/>
              </w:rPr>
              <w:t>3.25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[1, 10]</w:t>
            </w:r>
          </w:p>
          <w:p w14:paraId="65DF0E79" w14:textId="77777777" w:rsidR="00F32095" w:rsidRPr="00516634" w:rsidRDefault="00F32095" w:rsidP="00BD3BFF">
            <w:pPr>
              <w:spacing w:line="276" w:lineRule="auto"/>
              <w:jc w:val="center"/>
            </w:pPr>
            <w:r>
              <w:t>[</w:t>
            </w:r>
            <w:r>
              <w:rPr>
                <w:b/>
              </w:rPr>
              <w:t>3.24</w:t>
            </w:r>
            <w:r>
              <w:t xml:space="preserve">]/M </w:t>
            </w:r>
            <w:r>
              <w:rPr>
                <w:rFonts w:ascii="Cambria Math" w:hAnsi="Cambria Math" w:cs="Cambria Math"/>
              </w:rPr>
              <w:t>=</w:t>
            </w:r>
            <w:r>
              <w:t xml:space="preserve"> 1</w:t>
            </w:r>
          </w:p>
        </w:tc>
      </w:tr>
    </w:tbl>
    <w:p w14:paraId="3947E3D2" w14:textId="77777777" w:rsidR="00F32095" w:rsidRPr="00966443" w:rsidRDefault="00F32095" w:rsidP="00F32095">
      <w:pPr>
        <w:jc w:val="both"/>
        <w:rPr>
          <w:b/>
          <w:bCs/>
          <w:sz w:val="24"/>
          <w:szCs w:val="24"/>
        </w:rPr>
      </w:pPr>
    </w:p>
    <w:p w14:paraId="5F20A47D" w14:textId="2F52E24B" w:rsidR="006928C1" w:rsidRDefault="00F32095" w:rsidP="00F3209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D34129" wp14:editId="7477B475">
            <wp:extent cx="3354034" cy="2280062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72" cy="228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5FA10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228C8D4A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15566DC2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0DCE3561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1D0F11E4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0EE7A759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50BC4E14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5678B6F3" w14:textId="2DC0990D" w:rsidR="00F32095" w:rsidRDefault="00F32095" w:rsidP="00F320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Simulator – How it </w:t>
      </w:r>
      <w:proofErr w:type="gramStart"/>
      <w:r>
        <w:rPr>
          <w:b/>
          <w:bCs/>
          <w:sz w:val="24"/>
          <w:szCs w:val="24"/>
        </w:rPr>
        <w:t>Works</w:t>
      </w:r>
      <w:proofErr w:type="gramEnd"/>
    </w:p>
    <w:p w14:paraId="6EAAD085" w14:textId="5ABBFA47" w:rsidR="00194032" w:rsidRDefault="00194032" w:rsidP="00194032">
      <w:pPr>
        <w:jc w:val="both"/>
      </w:pPr>
      <w:r>
        <w:t xml:space="preserve">The simulation procedure for each test problem is outlined below. Firstly, the pre-exponential factors, </w:t>
      </w:r>
      <w:r>
        <w:rPr>
          <w:i/>
        </w:rPr>
        <w:t>A</w:t>
      </w:r>
      <w:r>
        <w:t xml:space="preserve">, and activation energies, </w:t>
      </w:r>
      <w:r w:rsidRPr="004261A6">
        <w:rPr>
          <w:i/>
        </w:rPr>
        <w:t>E</w:t>
      </w:r>
      <w:r w:rsidRPr="004261A6">
        <w:rPr>
          <w:i/>
          <w:vertAlign w:val="subscript"/>
        </w:rPr>
        <w:t>a</w:t>
      </w:r>
      <w:r>
        <w:t xml:space="preserve">, </w:t>
      </w:r>
      <w:r>
        <w:t>are</w:t>
      </w:r>
      <w:r>
        <w:t xml:space="preserve"> used to calculate the rate constants, </w:t>
      </w:r>
      <w:r>
        <w:rPr>
          <w:i/>
        </w:rPr>
        <w:t>k</w:t>
      </w:r>
      <w:r>
        <w:t>, for each step in the reaction using the Arrhenius equation</w:t>
      </w:r>
      <w:r>
        <w:t>,</w:t>
      </w:r>
      <w:r w:rsidRPr="00194032">
        <w:t xml:space="preserve"> </w:t>
      </w:r>
      <w:r>
        <w:t xml:space="preserve">where </w:t>
      </w:r>
      <w:r>
        <w:rPr>
          <w:i/>
        </w:rPr>
        <w:t>T</w:t>
      </w:r>
      <w:r>
        <w:t xml:space="preserve"> = temperature and </w:t>
      </w:r>
      <w:r>
        <w:rPr>
          <w:i/>
        </w:rPr>
        <w:t>R</w:t>
      </w:r>
      <w:r>
        <w:t xml:space="preserve"> = gas constant (8.314 J mol</w:t>
      </w:r>
      <w:r>
        <w:rPr>
          <w:vertAlign w:val="superscript"/>
        </w:rPr>
        <w:t>-1</w:t>
      </w:r>
      <w:r>
        <w:t xml:space="preserve"> K</w:t>
      </w:r>
      <w:r>
        <w:rPr>
          <w:vertAlign w:val="superscript"/>
        </w:rPr>
        <w:t>-1</w:t>
      </w:r>
      <w:r>
        <w:t>)</w:t>
      </w:r>
      <w:r>
        <w:t>:</w:t>
      </w:r>
      <w:r>
        <w:t xml:space="preserve"> </w:t>
      </w:r>
    </w:p>
    <w:p w14:paraId="093B0484" w14:textId="2082BC62" w:rsidR="00194032" w:rsidRDefault="00194032" w:rsidP="00194032">
      <w:pPr>
        <w:jc w:val="both"/>
      </w:pPr>
      <m:oMathPara>
        <m:oMath>
          <m:r>
            <w:rPr>
              <w:rFonts w:ascii="Cambria Math" w:hAnsi="Cambria Math"/>
            </w:rPr>
            <m:t>k=A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4C9976A3" w14:textId="16E547F6" w:rsidR="00194032" w:rsidRDefault="00194032" w:rsidP="00194032">
      <w:pPr>
        <w:jc w:val="both"/>
      </w:pPr>
      <w:r>
        <w:t xml:space="preserve">The differential rate equations for each step </w:t>
      </w:r>
      <w:r>
        <w:t>are</w:t>
      </w:r>
      <w:r>
        <w:t xml:space="preserve"> then solved using an ordinary differential equation (ODE) solver.</w:t>
      </w:r>
      <w:r>
        <w:t xml:space="preserve"> For example, the differential rate equations for the VdV1 test problem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1"/>
      </w:tblGrid>
      <w:tr w:rsidR="00194032" w:rsidRPr="00DE1C21" w14:paraId="4AF80404" w14:textId="77777777" w:rsidTr="00BD3BFF">
        <w:trPr>
          <w:jc w:val="center"/>
        </w:trPr>
        <w:tc>
          <w:tcPr>
            <w:tcW w:w="7961" w:type="dxa"/>
            <w:vAlign w:val="center"/>
          </w:tcPr>
          <w:p w14:paraId="48A84338" w14:textId="77777777" w:rsidR="00194032" w:rsidRPr="00194032" w:rsidRDefault="00194032" w:rsidP="00BD3BFF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rate=-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7ED703F" w14:textId="4ECA799C" w:rsidR="00194032" w:rsidRPr="00DE1C21" w:rsidRDefault="00194032" w:rsidP="00BD3BFF">
            <w:pPr>
              <w:jc w:val="center"/>
              <w:rPr>
                <w:rFonts w:ascii="Cambria" w:hAnsi="Cambria"/>
              </w:rPr>
            </w:pPr>
          </w:p>
        </w:tc>
      </w:tr>
      <w:tr w:rsidR="00194032" w:rsidRPr="00DE1C21" w14:paraId="6385055A" w14:textId="77777777" w:rsidTr="00BD3BFF">
        <w:trPr>
          <w:jc w:val="center"/>
        </w:trPr>
        <w:tc>
          <w:tcPr>
            <w:tcW w:w="7961" w:type="dxa"/>
            <w:vAlign w:val="center"/>
          </w:tcPr>
          <w:p w14:paraId="59095AF9" w14:textId="77777777" w:rsidR="00194032" w:rsidRPr="00194032" w:rsidRDefault="00194032" w:rsidP="00BD3BFF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rate=-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27BEF335" w14:textId="7A27843F" w:rsidR="00194032" w:rsidRPr="00DE1C21" w:rsidRDefault="00194032" w:rsidP="00BD3BFF">
            <w:pPr>
              <w:jc w:val="center"/>
              <w:rPr>
                <w:rFonts w:ascii="Cambria" w:hAnsi="Cambria"/>
              </w:rPr>
            </w:pPr>
          </w:p>
        </w:tc>
      </w:tr>
      <w:tr w:rsidR="00194032" w14:paraId="74D1284D" w14:textId="77777777" w:rsidTr="00BD3BFF">
        <w:trPr>
          <w:jc w:val="center"/>
        </w:trPr>
        <w:tc>
          <w:tcPr>
            <w:tcW w:w="7961" w:type="dxa"/>
            <w:vAlign w:val="center"/>
          </w:tcPr>
          <w:p w14:paraId="65DE0FB1" w14:textId="77777777" w:rsidR="00194032" w:rsidRPr="00194032" w:rsidRDefault="00194032" w:rsidP="00BD3BFF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rate=-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012B4A61" w14:textId="56F3E67C" w:rsidR="00194032" w:rsidRDefault="00194032" w:rsidP="00BD3BFF">
            <w:pPr>
              <w:jc w:val="center"/>
              <w:rPr>
                <w:rFonts w:ascii="Cambria" w:hAnsi="Cambria"/>
              </w:rPr>
            </w:pPr>
          </w:p>
        </w:tc>
      </w:tr>
      <w:tr w:rsidR="00194032" w14:paraId="1270C31B" w14:textId="77777777" w:rsidTr="00BD3BFF">
        <w:trPr>
          <w:jc w:val="center"/>
        </w:trPr>
        <w:tc>
          <w:tcPr>
            <w:tcW w:w="7961" w:type="dxa"/>
            <w:vAlign w:val="center"/>
          </w:tcPr>
          <w:p w14:paraId="1704139A" w14:textId="77777777" w:rsidR="00194032" w:rsidRDefault="00194032" w:rsidP="00BD3BFF">
            <w:pPr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rate=-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892C673" w14:textId="77777777" w:rsidR="00194032" w:rsidRDefault="00194032" w:rsidP="00194032">
      <w:pPr>
        <w:jc w:val="both"/>
      </w:pPr>
    </w:p>
    <w:p w14:paraId="022243EE" w14:textId="5300A0F3" w:rsidR="00194032" w:rsidRDefault="005452E0" w:rsidP="00194032">
      <w:pPr>
        <w:jc w:val="both"/>
      </w:pPr>
      <w:r>
        <w:t>In this case, the reactor is modelled as four CSTRs-in-series by solving simultaneously the coupled ODE equations</w:t>
      </w:r>
      <w:r w:rsidR="006F31BE">
        <w:t xml:space="preserve">, </w:t>
      </w:r>
      <w:r w:rsidR="00162EB6">
        <w:t>which are</w:t>
      </w:r>
      <w:r w:rsidR="006F31BE">
        <w:t xml:space="preserve"> terminated after four reactor volumes to ensure steady-state is </w:t>
      </w:r>
      <w:r w:rsidR="00DC3E84">
        <w:t>simulated</w:t>
      </w:r>
      <w:r>
        <w:t xml:space="preserve">. </w:t>
      </w:r>
      <w:r w:rsidR="00194032">
        <w:t>This provide</w:t>
      </w:r>
      <w:r w:rsidR="000070E1">
        <w:t>s</w:t>
      </w:r>
      <w:r w:rsidR="00194032">
        <w:t xml:space="preserve"> the percentage of each species in the reaction mixture under different sets of conditions, which </w:t>
      </w:r>
      <w:r w:rsidR="000070E1">
        <w:t>are</w:t>
      </w:r>
      <w:r w:rsidR="00194032">
        <w:t xml:space="preserve"> subsequently used to calculate the objectives for the given test problem. Random noise inherent with experimental systems </w:t>
      </w:r>
      <w:r w:rsidR="000070E1">
        <w:t>is</w:t>
      </w:r>
      <w:r w:rsidR="00194032">
        <w:t xml:space="preserve"> also included by applying a maximum absolute error of 0.25% and maximum relative error of 0.5% to the outputs</w:t>
      </w:r>
      <w:r w:rsidR="000070E1">
        <w:t xml:space="preserve">, </w:t>
      </w:r>
      <w:r w:rsidR="000070E1">
        <w:t xml:space="preserve">where </w:t>
      </w:r>
      <w:r w:rsidR="000070E1">
        <w:rPr>
          <w:i/>
        </w:rPr>
        <w:t>Y</w:t>
      </w:r>
      <w:r w:rsidR="000070E1">
        <w:t xml:space="preserve"> = yield and </w:t>
      </w:r>
      <w:r w:rsidR="000070E1">
        <w:rPr>
          <w:i/>
        </w:rPr>
        <w:t>rand</w:t>
      </w:r>
      <w:r w:rsidR="000070E1">
        <w:t xml:space="preserve"> = random number between 0 and 1</w:t>
      </w:r>
      <w:r w:rsidR="000070E1">
        <w:t xml:space="preserve">. </w:t>
      </w:r>
      <w:r w:rsidR="000070E1">
        <w:t xml:space="preserve">If the adjusted yield, </w:t>
      </w:r>
      <w:proofErr w:type="spellStart"/>
      <w:r w:rsidR="000070E1">
        <w:rPr>
          <w:i/>
        </w:rPr>
        <w:t>Y</w:t>
      </w:r>
      <w:r w:rsidR="000070E1">
        <w:rPr>
          <w:i/>
          <w:vertAlign w:val="subscript"/>
        </w:rPr>
        <w:t>adj</w:t>
      </w:r>
      <w:proofErr w:type="spellEnd"/>
      <w:r w:rsidR="000070E1">
        <w:t xml:space="preserve">, </w:t>
      </w:r>
      <w:r w:rsidR="000070E1">
        <w:t>is</w:t>
      </w:r>
      <w:r w:rsidR="000070E1">
        <w:t xml:space="preserve"> less than 0 or greater than 100, then it </w:t>
      </w:r>
      <w:r w:rsidR="000070E1">
        <w:t>is</w:t>
      </w:r>
      <w:r w:rsidR="000070E1">
        <w:t xml:space="preserve"> forced onto the nearest boundary.</w:t>
      </w:r>
    </w:p>
    <w:p w14:paraId="03C6BCF9" w14:textId="5EFF77CD" w:rsidR="000070E1" w:rsidRDefault="00233F7B" w:rsidP="0019403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hAnsi="Cambria Math"/>
            </w:rPr>
            <m:t>=Y+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rand-0.5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rand-0.5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d>
        </m:oMath>
      </m:oMathPara>
    </w:p>
    <w:p w14:paraId="5D8A5CA4" w14:textId="63791395" w:rsidR="00F32095" w:rsidRDefault="00061286" w:rsidP="00C22EC0">
      <w:pPr>
        <w:jc w:val="both"/>
      </w:pPr>
      <w:r>
        <w:t xml:space="preserve">To compare the performance of the algorithms, the hypervolume </w:t>
      </w:r>
      <w:r>
        <w:t>is</w:t>
      </w:r>
      <w:r>
        <w:t xml:space="preserve"> calculated after each iteration, where the hypervolume is defined as </w:t>
      </w:r>
      <w:r w:rsidRPr="009020D8">
        <w:t xml:space="preserve">the volume between the </w:t>
      </w:r>
      <w:r>
        <w:t>current Pareto</w:t>
      </w:r>
      <w:r w:rsidRPr="009020D8">
        <w:t xml:space="preserve"> front </w:t>
      </w:r>
      <w:r>
        <w:t>and a reference point (</w:t>
      </w:r>
      <w:proofErr w:type="gramStart"/>
      <w:r>
        <w:t>i.e.</w:t>
      </w:r>
      <w:proofErr w:type="gramEnd"/>
      <w:r>
        <w:t xml:space="preserve"> larger hypervolume = better Pareto front). The hypervolume </w:t>
      </w:r>
      <w:r>
        <w:t>is</w:t>
      </w:r>
      <w:r>
        <w:t xml:space="preserve"> calculated using a Monte-Carlo approximation, which determine</w:t>
      </w:r>
      <w:r>
        <w:t>s</w:t>
      </w:r>
      <w:r>
        <w:t xml:space="preserve"> the percentage of 100,000 random points in the objective space which</w:t>
      </w:r>
      <w:r>
        <w:t xml:space="preserve"> are</w:t>
      </w:r>
      <w:r>
        <w:t xml:space="preserve"> dominated by the current Pareto front. The utopian and anti-utopian point for the objective space of each test problem </w:t>
      </w:r>
      <w:r>
        <w:t>were</w:t>
      </w:r>
      <w:r>
        <w:t xml:space="preserve"> selected by creating a superset of the </w:t>
      </w:r>
      <w:r>
        <w:br/>
        <w:t>non-dominated solutions from all runs across all algorithms. The reference point for the objective space was then defined as the anti-utopian point shifted by 0.01 of the difference between the utopian and anti-utopian point.</w:t>
      </w:r>
    </w:p>
    <w:p w14:paraId="39FDE56F" w14:textId="44E19BC9" w:rsidR="00C22EC0" w:rsidRDefault="00C22EC0" w:rsidP="00C22EC0">
      <w:pPr>
        <w:jc w:val="both"/>
      </w:pPr>
      <w:r w:rsidRPr="004F7704">
        <w:t>The performance of</w:t>
      </w:r>
      <w:r>
        <w:t xml:space="preserve"> Thompson sampling efficient multi-objective optimisation</w:t>
      </w:r>
      <w:r w:rsidRPr="004F7704">
        <w:t xml:space="preserve"> </w:t>
      </w:r>
      <w:r>
        <w:t>(</w:t>
      </w:r>
      <w:r w:rsidRPr="004F7704">
        <w:t>TSEMO</w:t>
      </w:r>
      <w:r>
        <w:t>)</w:t>
      </w:r>
      <w:r w:rsidRPr="004F7704">
        <w:t>, Pareto efficient global optimisation (</w:t>
      </w:r>
      <w:proofErr w:type="spellStart"/>
      <w:r w:rsidRPr="004F7704">
        <w:t>ParEGO</w:t>
      </w:r>
      <w:proofErr w:type="spellEnd"/>
      <w:r w:rsidRPr="004F7704">
        <w:t>),</w:t>
      </w:r>
      <w:r>
        <w:t xml:space="preserve"> </w:t>
      </w:r>
      <w:r w:rsidRPr="004F7704">
        <w:t>NSGA-II and expected improvement matrix efficient global optimisation (EIM-EGO) were compared using th</w:t>
      </w:r>
      <w:r>
        <w:t>is</w:t>
      </w:r>
      <w:r w:rsidRPr="004F7704">
        <w:t xml:space="preserve"> approach. Implementations of </w:t>
      </w:r>
      <w:proofErr w:type="spellStart"/>
      <w:r w:rsidRPr="004F7704">
        <w:t>ParEGO</w:t>
      </w:r>
      <w:proofErr w:type="spellEnd"/>
      <w:r w:rsidRPr="004F7704">
        <w:t>, NSGA-II and EIM-EGO were all available in the platform for evolutionary multi-objective optimisation (</w:t>
      </w:r>
      <w:proofErr w:type="spellStart"/>
      <w:r w:rsidRPr="004F7704">
        <w:t>PlatEMO</w:t>
      </w:r>
      <w:proofErr w:type="spellEnd"/>
      <w:r w:rsidRPr="004F7704">
        <w:t xml:space="preserve">) toolbox in MATLAB. </w:t>
      </w:r>
      <w:r>
        <w:t xml:space="preserve">An implementation of TSEMO was available on GitHub, and was </w:t>
      </w:r>
      <w:r w:rsidRPr="004F7704">
        <w:t xml:space="preserve">compared with both one and four points (batch sequential, BS-TSEMO) per iteration. </w:t>
      </w:r>
      <w:r>
        <w:t xml:space="preserve">TSEMO, </w:t>
      </w:r>
      <w:proofErr w:type="spellStart"/>
      <w:r w:rsidRPr="004F7704">
        <w:t>ParEGO</w:t>
      </w:r>
      <w:proofErr w:type="spellEnd"/>
      <w:r w:rsidRPr="004F7704">
        <w:t xml:space="preserve"> and EIM-EGO </w:t>
      </w:r>
      <w:r w:rsidRPr="004F7704">
        <w:lastRenderedPageBreak/>
        <w:t xml:space="preserve">were </w:t>
      </w:r>
      <w:r>
        <w:t xml:space="preserve">all </w:t>
      </w:r>
      <w:r w:rsidRPr="004F7704">
        <w:t xml:space="preserve">chosen as they represent surrogate model-based multi-objective optimisation algorithms, whereas NSGA-II is a commonly used genetic algorithm. The TSEMO, BS-TSEMO, </w:t>
      </w:r>
      <w:proofErr w:type="spellStart"/>
      <w:r w:rsidRPr="004F7704">
        <w:t>ParEGO</w:t>
      </w:r>
      <w:proofErr w:type="spellEnd"/>
      <w:r w:rsidRPr="004F7704">
        <w:t xml:space="preserve"> and EIM-EGO were initialised using a LHC design of size 20. Each algorithm had a function evaluation budget of 100, and was ran 20 times for each test problem to compare average performance. To account for the function evaluation budget, the NSGA-II population size and total number of generations were changed to 20 and 5 respectively.</w:t>
      </w:r>
    </w:p>
    <w:p w14:paraId="07D70B27" w14:textId="5FD38E2A" w:rsidR="001E2A4E" w:rsidRDefault="00C22EC0" w:rsidP="00C22EC0">
      <w:pPr>
        <w:jc w:val="both"/>
        <w:rPr>
          <w:noProof/>
          <w:lang w:eastAsia="en-GB"/>
        </w:rPr>
      </w:pPr>
      <w:r>
        <w:t>Plots showing the average change in hypervolume throughout the optimisations</w:t>
      </w:r>
      <w:r>
        <w:t>, and boxplots of the optimisation results after 60 function evaluations are displayed below.</w:t>
      </w:r>
      <w:r w:rsidR="008F3484">
        <w:t xml:space="preserve"> </w:t>
      </w:r>
      <w:r w:rsidR="00D35576">
        <w:t>These results can be used as benchmarks to compare against other/new multi-objective algorithms.</w:t>
      </w:r>
      <w:r w:rsidR="001E2A4E" w:rsidRPr="001E2A4E">
        <w:rPr>
          <w:noProof/>
          <w:lang w:eastAsia="en-GB"/>
        </w:rPr>
        <w:t xml:space="preserve"> </w:t>
      </w:r>
    </w:p>
    <w:p w14:paraId="05743755" w14:textId="77777777" w:rsidR="001E2A4E" w:rsidRDefault="001E2A4E" w:rsidP="00C22EC0">
      <w:pPr>
        <w:jc w:val="both"/>
        <w:rPr>
          <w:noProof/>
          <w:lang w:eastAsia="en-GB"/>
        </w:rPr>
      </w:pPr>
    </w:p>
    <w:p w14:paraId="36F12D65" w14:textId="0B10353D" w:rsidR="006057AD" w:rsidRDefault="001E2A4E" w:rsidP="00C22EC0">
      <w:pPr>
        <w:jc w:val="both"/>
      </w:pPr>
      <w:r w:rsidRPr="00276E29">
        <w:rPr>
          <w:noProof/>
          <w:lang w:eastAsia="en-GB"/>
        </w:rPr>
        <w:drawing>
          <wp:inline distT="0" distB="0" distL="0" distR="0" wp14:anchorId="2A74F5CD" wp14:editId="640692EF">
            <wp:extent cx="5626624" cy="4911090"/>
            <wp:effectExtent l="0" t="0" r="0" b="3810"/>
            <wp:docPr id="15" name="Picture 15" descr="F:\tes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test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8" r="13783"/>
                    <a:stretch/>
                  </pic:blipFill>
                  <pic:spPr bwMode="auto">
                    <a:xfrm>
                      <a:off x="0" y="0"/>
                      <a:ext cx="5640740" cy="49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DFD49" w14:textId="6F809E04" w:rsidR="00D35576" w:rsidRDefault="0083402C" w:rsidP="0083402C">
      <w:pPr>
        <w:jc w:val="center"/>
      </w:pPr>
      <w:r w:rsidRPr="00B409A4">
        <w:rPr>
          <w:noProof/>
          <w:lang w:eastAsia="en-GB"/>
        </w:rPr>
        <w:lastRenderedPageBreak/>
        <w:drawing>
          <wp:inline distT="0" distB="0" distL="0" distR="0" wp14:anchorId="17236A95" wp14:editId="79AE74DA">
            <wp:extent cx="5686425" cy="8143811"/>
            <wp:effectExtent l="0" t="0" r="0" b="0"/>
            <wp:docPr id="13" name="Picture 13" descr="F:\Thesis\Chapter 3 Materials\Figures\Hypervolume Scatter P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Thesis\Chapter 3 Materials\Figures\Hypervolume Scatter Plot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91" cy="81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E7AE" w14:textId="52D6CB29" w:rsidR="0083402C" w:rsidRDefault="0083402C" w:rsidP="0083402C">
      <w:pPr>
        <w:jc w:val="center"/>
      </w:pPr>
    </w:p>
    <w:p w14:paraId="0E5154BA" w14:textId="77777777" w:rsidR="001E2A4E" w:rsidRDefault="001E2A4E" w:rsidP="00F32095">
      <w:pPr>
        <w:jc w:val="both"/>
        <w:rPr>
          <w:b/>
          <w:bCs/>
          <w:sz w:val="24"/>
          <w:szCs w:val="24"/>
        </w:rPr>
      </w:pPr>
    </w:p>
    <w:p w14:paraId="6DDAB432" w14:textId="71A2D1A3" w:rsidR="00F32095" w:rsidRPr="00F32095" w:rsidRDefault="00F32095" w:rsidP="003E03E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Simulator – How to Use</w:t>
      </w:r>
    </w:p>
    <w:p w14:paraId="2854AAA8" w14:textId="1F320731" w:rsidR="0013221A" w:rsidRDefault="0013221A" w:rsidP="003E03E4">
      <w:pPr>
        <w:pStyle w:val="ListParagraph"/>
        <w:numPr>
          <w:ilvl w:val="0"/>
          <w:numId w:val="2"/>
        </w:numPr>
        <w:jc w:val="both"/>
      </w:pPr>
      <w:r>
        <w:t>Software requirements: MATLAB, optimization toolbox, statistics toolbox.</w:t>
      </w:r>
    </w:p>
    <w:p w14:paraId="650E2EE9" w14:textId="6C58DE4A" w:rsidR="00AA1AE6" w:rsidRPr="000F5CBE" w:rsidRDefault="00AA1AE6" w:rsidP="003E03E4">
      <w:pPr>
        <w:pStyle w:val="ListParagraph"/>
        <w:numPr>
          <w:ilvl w:val="0"/>
          <w:numId w:val="2"/>
        </w:numPr>
        <w:jc w:val="both"/>
      </w:pPr>
      <w:r>
        <w:t>To test an algorithm, it must be written in the following format as a .m file:</w:t>
      </w:r>
    </w:p>
    <w:p w14:paraId="50CBC08D" w14:textId="77777777" w:rsidR="00AA1AE6" w:rsidRDefault="00AA1AE6" w:rsidP="003E03E4">
      <w:pPr>
        <w:jc w:val="both"/>
      </w:pPr>
      <w:r>
        <w:t xml:space="preserve">Inputs: </w:t>
      </w:r>
    </w:p>
    <w:p w14:paraId="39610267" w14:textId="2C3D900B" w:rsidR="00AA1AE6" w:rsidRDefault="00AA1AE6" w:rsidP="003E03E4">
      <w:pPr>
        <w:pStyle w:val="ListParagraph"/>
        <w:numPr>
          <w:ilvl w:val="0"/>
          <w:numId w:val="3"/>
        </w:numPr>
        <w:jc w:val="both"/>
      </w:pPr>
      <w:r>
        <w:t>data.x = conditions</w:t>
      </w:r>
    </w:p>
    <w:p w14:paraId="50F8A9C9" w14:textId="16A288CE" w:rsidR="00AA1AE6" w:rsidRDefault="00396547" w:rsidP="003E03E4">
      <w:pPr>
        <w:pStyle w:val="ListParagraph"/>
        <w:numPr>
          <w:ilvl w:val="0"/>
          <w:numId w:val="3"/>
        </w:numPr>
        <w:jc w:val="both"/>
      </w:pPr>
      <w:proofErr w:type="gramStart"/>
      <w:r>
        <w:t>d</w:t>
      </w:r>
      <w:r w:rsidR="00AA1AE6">
        <w:t>ata.y</w:t>
      </w:r>
      <w:proofErr w:type="gramEnd"/>
      <w:r w:rsidR="00AA1AE6">
        <w:t xml:space="preserve"> = responses</w:t>
      </w:r>
    </w:p>
    <w:p w14:paraId="5E372BEE" w14:textId="2F4CCD56" w:rsidR="00AA1AE6" w:rsidRDefault="00396547" w:rsidP="003E03E4">
      <w:pPr>
        <w:pStyle w:val="ListParagraph"/>
        <w:numPr>
          <w:ilvl w:val="0"/>
          <w:numId w:val="3"/>
        </w:numPr>
        <w:jc w:val="both"/>
      </w:pPr>
      <w:r>
        <w:t>l</w:t>
      </w:r>
      <w:r w:rsidR="00AA1AE6">
        <w:t>owerbounds = lowerbounds of conditions</w:t>
      </w:r>
    </w:p>
    <w:p w14:paraId="5A444B8E" w14:textId="0E659D95" w:rsidR="00AA1AE6" w:rsidRDefault="00396547" w:rsidP="003E03E4">
      <w:pPr>
        <w:pStyle w:val="ListParagraph"/>
        <w:numPr>
          <w:ilvl w:val="0"/>
          <w:numId w:val="3"/>
        </w:numPr>
        <w:jc w:val="both"/>
      </w:pPr>
      <w:r>
        <w:t>u</w:t>
      </w:r>
      <w:r w:rsidR="00AA1AE6">
        <w:t>pperbounds = upperbounds of conditions</w:t>
      </w:r>
    </w:p>
    <w:p w14:paraId="351B26EE" w14:textId="6F25AF09" w:rsidR="00AA1AE6" w:rsidRDefault="00AA1AE6" w:rsidP="003E03E4">
      <w:pPr>
        <w:pStyle w:val="ListParagraph"/>
        <w:numPr>
          <w:ilvl w:val="0"/>
          <w:numId w:val="3"/>
        </w:numPr>
        <w:jc w:val="both"/>
      </w:pPr>
      <w:r>
        <w:t>Opt = algorithm options</w:t>
      </w:r>
    </w:p>
    <w:p w14:paraId="13B8D8C5" w14:textId="4EEFBCAB" w:rsidR="00AA1AE6" w:rsidRDefault="00AA1AE6" w:rsidP="003E03E4">
      <w:pPr>
        <w:jc w:val="both"/>
      </w:pPr>
      <w:r>
        <w:t>Outputs:</w:t>
      </w:r>
    </w:p>
    <w:p w14:paraId="5E25C908" w14:textId="77B8502F" w:rsidR="00AA1AE6" w:rsidRDefault="00AA1AE6" w:rsidP="003E03E4">
      <w:pPr>
        <w:pStyle w:val="ListParagraph"/>
        <w:numPr>
          <w:ilvl w:val="0"/>
          <w:numId w:val="4"/>
        </w:numPr>
        <w:jc w:val="both"/>
      </w:pPr>
      <w:r>
        <w:t>conditions = conditions for next iteration (can contain as many rows as desired)</w:t>
      </w:r>
    </w:p>
    <w:p w14:paraId="74E91FEB" w14:textId="0A58914F" w:rsidR="000F5CBE" w:rsidRDefault="000F5CBE" w:rsidP="003E03E4">
      <w:pPr>
        <w:jc w:val="both"/>
      </w:pPr>
      <w:r>
        <w:t>Example:</w:t>
      </w:r>
    </w:p>
    <w:p w14:paraId="47449FB6" w14:textId="77777777" w:rsidR="000F5CBE" w:rsidRDefault="000F5CBE" w:rsidP="003E03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TSEMO_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EAFE9B4" w14:textId="41C81F9E" w:rsidR="000F5CBE" w:rsidRDefault="000F5CBE" w:rsidP="003E03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conditions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TSEMO(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data.x, data.y, lowerbounds, upperbounds, Opt);</w:t>
      </w:r>
    </w:p>
    <w:p w14:paraId="3571BB8D" w14:textId="77777777" w:rsidR="00201C6C" w:rsidRDefault="00201C6C" w:rsidP="003E03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F0388F8" w14:textId="64A6B4DE" w:rsidR="002F60B6" w:rsidRDefault="002F60B6" w:rsidP="003E03E4">
      <w:pPr>
        <w:pStyle w:val="ListParagraph"/>
        <w:numPr>
          <w:ilvl w:val="0"/>
          <w:numId w:val="4"/>
        </w:numPr>
        <w:jc w:val="both"/>
      </w:pPr>
      <w:r>
        <w:t>Each test problem can be used by running the respective script:</w:t>
      </w:r>
    </w:p>
    <w:p w14:paraId="44AE1BA5" w14:textId="77777777" w:rsidR="002F60B6" w:rsidRDefault="002F60B6" w:rsidP="003E03E4">
      <w:pPr>
        <w:pStyle w:val="ListParagraph"/>
        <w:jc w:val="both"/>
      </w:pPr>
    </w:p>
    <w:p w14:paraId="7256E80F" w14:textId="77777777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VdV1 = VdV1_Test_Problem</w:t>
      </w:r>
    </w:p>
    <w:p w14:paraId="0B117958" w14:textId="77777777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SnAr1 = SnAr1_Test_Problem</w:t>
      </w:r>
    </w:p>
    <w:p w14:paraId="3868DC0B" w14:textId="77777777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SnAr2 = SnAr2_Test_Problem</w:t>
      </w:r>
    </w:p>
    <w:p w14:paraId="29CE58E1" w14:textId="77777777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Lactose1 = Lactose1_Test_Problem</w:t>
      </w:r>
    </w:p>
    <w:p w14:paraId="6C348322" w14:textId="77777777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PK1 = PK1_Test_Problem</w:t>
      </w:r>
    </w:p>
    <w:p w14:paraId="7C672E88" w14:textId="6A811E92" w:rsidR="002F60B6" w:rsidRDefault="002F60B6" w:rsidP="003E03E4">
      <w:pPr>
        <w:pStyle w:val="ListParagraph"/>
        <w:numPr>
          <w:ilvl w:val="0"/>
          <w:numId w:val="5"/>
        </w:numPr>
        <w:ind w:left="1491" w:hanging="357"/>
        <w:jc w:val="both"/>
      </w:pPr>
      <w:r>
        <w:t>PK2 = PK2_Test_Problem</w:t>
      </w:r>
    </w:p>
    <w:p w14:paraId="1402EBAF" w14:textId="77777777" w:rsidR="002F60B6" w:rsidRDefault="002F60B6" w:rsidP="003E03E4">
      <w:pPr>
        <w:pStyle w:val="ListParagraph"/>
        <w:jc w:val="both"/>
      </w:pPr>
    </w:p>
    <w:p w14:paraId="2D354732" w14:textId="409A6F4E" w:rsidR="00D511F9" w:rsidRDefault="00D511F9" w:rsidP="003E03E4">
      <w:pPr>
        <w:pStyle w:val="ListParagraph"/>
        <w:numPr>
          <w:ilvl w:val="0"/>
          <w:numId w:val="4"/>
        </w:numPr>
        <w:jc w:val="both"/>
      </w:pPr>
      <w:r>
        <w:t>When the script is run, the user is prompted to select the .m file containing the algorithm they want to test.</w:t>
      </w:r>
    </w:p>
    <w:p w14:paraId="02CB2B31" w14:textId="74168FB0" w:rsidR="000F5CBE" w:rsidRDefault="00936C62" w:rsidP="003E03E4">
      <w:pPr>
        <w:pStyle w:val="ListParagraph"/>
        <w:numPr>
          <w:ilvl w:val="0"/>
          <w:numId w:val="4"/>
        </w:numPr>
        <w:jc w:val="both"/>
      </w:pPr>
      <w:r>
        <w:t xml:space="preserve">The TSEMO algorithm has been included as an example, and can be run by selecting the </w:t>
      </w:r>
      <w:r w:rsidR="00F47D62">
        <w:t>“</w:t>
      </w:r>
      <w:r>
        <w:t>TSEMO_example.m</w:t>
      </w:r>
      <w:r w:rsidR="00F47D62">
        <w:t>”</w:t>
      </w:r>
      <w:r>
        <w:t xml:space="preserve"> file when prompted.</w:t>
      </w:r>
    </w:p>
    <w:p w14:paraId="7FA85AC7" w14:textId="2ADE9DD4" w:rsidR="009A485F" w:rsidRDefault="009A485F" w:rsidP="003E03E4">
      <w:pPr>
        <w:pStyle w:val="ListParagraph"/>
        <w:numPr>
          <w:ilvl w:val="0"/>
          <w:numId w:val="4"/>
        </w:numPr>
        <w:jc w:val="both"/>
      </w:pPr>
      <w:r>
        <w:t>The hypervolume is calculated after each experiment, and will be plotted in real-time.</w:t>
      </w:r>
    </w:p>
    <w:p w14:paraId="39598ED4" w14:textId="42649CFD" w:rsidR="009A485F" w:rsidRDefault="00005015" w:rsidP="003E03E4">
      <w:pPr>
        <w:pStyle w:val="ListParagraph"/>
        <w:numPr>
          <w:ilvl w:val="0"/>
          <w:numId w:val="4"/>
        </w:numPr>
        <w:jc w:val="both"/>
      </w:pPr>
      <w:r>
        <w:t>By default, each test problem will initiate with 20 LHC experiments, and will terminate after an additional 80 experiments have been run by the algorithm (total experiments = 100).</w:t>
      </w:r>
      <w:r w:rsidR="003E03E4">
        <w:t xml:space="preserve"> These can be adjusted within the test problem scripts by changing the size of the “</w:t>
      </w:r>
      <w:proofErr w:type="spellStart"/>
      <w:r w:rsidR="003E03E4">
        <w:t>initial_sample_size</w:t>
      </w:r>
      <w:proofErr w:type="spellEnd"/>
      <w:r w:rsidR="003E03E4">
        <w:t>” variable and “</w:t>
      </w:r>
      <w:proofErr w:type="spellStart"/>
      <w:r w:rsidR="003E03E4">
        <w:t>total_expts</w:t>
      </w:r>
      <w:proofErr w:type="spellEnd"/>
      <w:r w:rsidR="003E03E4">
        <w:t xml:space="preserve">” while </w:t>
      </w:r>
      <w:proofErr w:type="gramStart"/>
      <w:r w:rsidR="003E03E4">
        <w:t>loop</w:t>
      </w:r>
      <w:proofErr w:type="gramEnd"/>
      <w:r w:rsidR="003E03E4">
        <w:t xml:space="preserve"> respectively. </w:t>
      </w:r>
    </w:p>
    <w:p w14:paraId="1B539B68" w14:textId="02E868BF" w:rsidR="00571E51" w:rsidRDefault="005D38C1" w:rsidP="003E03E4">
      <w:pPr>
        <w:pStyle w:val="ListParagraph"/>
        <w:numPr>
          <w:ilvl w:val="0"/>
          <w:numId w:val="4"/>
        </w:numPr>
        <w:jc w:val="both"/>
      </w:pPr>
      <w:r>
        <w:t>The following</w:t>
      </w:r>
      <w:r w:rsidR="00534E15">
        <w:t xml:space="preserve"> optimisation data is stored in the </w:t>
      </w:r>
      <w:r w:rsidR="00032EF4">
        <w:t>“</w:t>
      </w:r>
      <w:r w:rsidR="00534E15">
        <w:t>data</w:t>
      </w:r>
      <w:r w:rsidR="00032EF4">
        <w:t>”</w:t>
      </w:r>
      <w:r w:rsidR="00534E15">
        <w:t xml:space="preserve"> structure</w:t>
      </w:r>
      <w:r>
        <w:t>:</w:t>
      </w:r>
    </w:p>
    <w:p w14:paraId="5819DD53" w14:textId="5D154FB3" w:rsidR="005C2E32" w:rsidRDefault="00534E15">
      <w:r>
        <w:t>Data structure:</w:t>
      </w:r>
    </w:p>
    <w:p w14:paraId="5C9021DB" w14:textId="44DB99C1" w:rsidR="005C2E32" w:rsidRDefault="005C2E32" w:rsidP="00534E15">
      <w:pPr>
        <w:pStyle w:val="ListParagraph"/>
        <w:numPr>
          <w:ilvl w:val="0"/>
          <w:numId w:val="6"/>
        </w:numPr>
      </w:pPr>
      <w:r>
        <w:t>data.x = all conditions</w:t>
      </w:r>
    </w:p>
    <w:p w14:paraId="37A64B11" w14:textId="35FC4D5E" w:rsidR="005C2E32" w:rsidRDefault="005C2E32" w:rsidP="00534E15">
      <w:pPr>
        <w:pStyle w:val="ListParagraph"/>
        <w:numPr>
          <w:ilvl w:val="0"/>
          <w:numId w:val="6"/>
        </w:numPr>
      </w:pPr>
      <w:proofErr w:type="gramStart"/>
      <w:r>
        <w:t>data.y</w:t>
      </w:r>
      <w:proofErr w:type="gramEnd"/>
      <w:r>
        <w:t xml:space="preserve"> = all natural log transformed responses</w:t>
      </w:r>
    </w:p>
    <w:p w14:paraId="557EA666" w14:textId="6D3B005E" w:rsidR="005C2E32" w:rsidRDefault="005C2E32" w:rsidP="00534E15">
      <w:pPr>
        <w:pStyle w:val="ListParagraph"/>
        <w:numPr>
          <w:ilvl w:val="0"/>
          <w:numId w:val="6"/>
        </w:numPr>
      </w:pPr>
      <w:proofErr w:type="gramStart"/>
      <w:r>
        <w:t>data.z</w:t>
      </w:r>
      <w:proofErr w:type="gramEnd"/>
      <w:r>
        <w:t xml:space="preserve"> = all </w:t>
      </w:r>
      <w:r w:rsidR="00534E15">
        <w:t>untransformed responses</w:t>
      </w:r>
    </w:p>
    <w:p w14:paraId="77740DCF" w14:textId="16D405D0" w:rsidR="005C2E32" w:rsidRDefault="005C2E32" w:rsidP="00534E15">
      <w:pPr>
        <w:pStyle w:val="ListParagraph"/>
        <w:numPr>
          <w:ilvl w:val="0"/>
          <w:numId w:val="6"/>
        </w:numPr>
      </w:pPr>
      <w:proofErr w:type="gramStart"/>
      <w:r>
        <w:t>data.idxs</w:t>
      </w:r>
      <w:proofErr w:type="gramEnd"/>
      <w:r>
        <w:t xml:space="preserve"> = index of the conditions </w:t>
      </w:r>
      <w:r w:rsidR="00534E15">
        <w:t>which have Pareto-optimal solutions</w:t>
      </w:r>
    </w:p>
    <w:p w14:paraId="18A98F48" w14:textId="760FC7D7" w:rsidR="005C2E32" w:rsidRDefault="005C2E32" w:rsidP="00534E15">
      <w:pPr>
        <w:pStyle w:val="ListParagraph"/>
        <w:numPr>
          <w:ilvl w:val="0"/>
          <w:numId w:val="6"/>
        </w:numPr>
      </w:pPr>
      <w:proofErr w:type="gramStart"/>
      <w:r>
        <w:t>data.optconds</w:t>
      </w:r>
      <w:proofErr w:type="gramEnd"/>
      <w:r>
        <w:t xml:space="preserve"> = conditions </w:t>
      </w:r>
      <w:r w:rsidR="00534E15">
        <w:t>which have Pareto-optimal solutions</w:t>
      </w:r>
    </w:p>
    <w:p w14:paraId="1B6D21D0" w14:textId="7208C8B1" w:rsidR="005C2E32" w:rsidRDefault="005C2E32" w:rsidP="00534E15">
      <w:pPr>
        <w:pStyle w:val="ListParagraph"/>
        <w:numPr>
          <w:ilvl w:val="0"/>
          <w:numId w:val="6"/>
        </w:numPr>
      </w:pPr>
      <w:r>
        <w:t xml:space="preserve">data.opt = number of </w:t>
      </w:r>
      <w:r w:rsidR="00534E15">
        <w:t>Pareto-optimal</w:t>
      </w:r>
      <w:r>
        <w:t xml:space="preserve"> solutions per iteration</w:t>
      </w:r>
    </w:p>
    <w:p w14:paraId="2EEE6A09" w14:textId="4EE87959" w:rsidR="005C2E32" w:rsidRDefault="00F13147" w:rsidP="00534E15">
      <w:pPr>
        <w:pStyle w:val="ListParagraph"/>
        <w:numPr>
          <w:ilvl w:val="0"/>
          <w:numId w:val="6"/>
        </w:numPr>
      </w:pPr>
      <w:proofErr w:type="gramStart"/>
      <w:r>
        <w:t>data.front</w:t>
      </w:r>
      <w:proofErr w:type="gramEnd"/>
      <w:r>
        <w:t xml:space="preserve"> = </w:t>
      </w:r>
      <w:r w:rsidR="00534E15">
        <w:t>Pareto-optimal solutions</w:t>
      </w:r>
    </w:p>
    <w:p w14:paraId="4B58BA1A" w14:textId="1440E6C9" w:rsidR="00534E15" w:rsidRPr="00534E15" w:rsidRDefault="00F13147" w:rsidP="00534E15">
      <w:pPr>
        <w:pStyle w:val="ListParagraph"/>
        <w:numPr>
          <w:ilvl w:val="0"/>
          <w:numId w:val="6"/>
        </w:numPr>
      </w:pPr>
      <w:proofErr w:type="gramStart"/>
      <w:r>
        <w:t>data.hv</w:t>
      </w:r>
      <w:proofErr w:type="gramEnd"/>
      <w:r>
        <w:t xml:space="preserve"> = hypervolume per iteration</w:t>
      </w:r>
    </w:p>
    <w:sectPr w:rsidR="00534E15" w:rsidRPr="0053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492"/>
    <w:multiLevelType w:val="hybridMultilevel"/>
    <w:tmpl w:val="5E0C49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AB1"/>
    <w:multiLevelType w:val="hybridMultilevel"/>
    <w:tmpl w:val="627C89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1FD6"/>
    <w:multiLevelType w:val="hybridMultilevel"/>
    <w:tmpl w:val="2E2832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224D7"/>
    <w:multiLevelType w:val="hybridMultilevel"/>
    <w:tmpl w:val="2CFC45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B0248"/>
    <w:multiLevelType w:val="hybridMultilevel"/>
    <w:tmpl w:val="478C2B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A7190"/>
    <w:multiLevelType w:val="hybridMultilevel"/>
    <w:tmpl w:val="C2F0E5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1"/>
    <w:rsid w:val="00005015"/>
    <w:rsid w:val="000070E1"/>
    <w:rsid w:val="00032EF4"/>
    <w:rsid w:val="0004411F"/>
    <w:rsid w:val="00061286"/>
    <w:rsid w:val="000A22CA"/>
    <w:rsid w:val="000C5517"/>
    <w:rsid w:val="000F5CBE"/>
    <w:rsid w:val="0013221A"/>
    <w:rsid w:val="00162EB6"/>
    <w:rsid w:val="00194032"/>
    <w:rsid w:val="001A0CA7"/>
    <w:rsid w:val="001B606D"/>
    <w:rsid w:val="001D0D6D"/>
    <w:rsid w:val="001E2A4E"/>
    <w:rsid w:val="00201C6C"/>
    <w:rsid w:val="00233F7B"/>
    <w:rsid w:val="00273AD7"/>
    <w:rsid w:val="00296EDA"/>
    <w:rsid w:val="002970D7"/>
    <w:rsid w:val="002A0078"/>
    <w:rsid w:val="002F2A6B"/>
    <w:rsid w:val="002F60B6"/>
    <w:rsid w:val="00342332"/>
    <w:rsid w:val="00386EE4"/>
    <w:rsid w:val="00396547"/>
    <w:rsid w:val="003E03E4"/>
    <w:rsid w:val="0040793E"/>
    <w:rsid w:val="0042677E"/>
    <w:rsid w:val="00500622"/>
    <w:rsid w:val="00523A0C"/>
    <w:rsid w:val="00534E15"/>
    <w:rsid w:val="005452E0"/>
    <w:rsid w:val="00557E50"/>
    <w:rsid w:val="00571E51"/>
    <w:rsid w:val="0058727C"/>
    <w:rsid w:val="005C2E32"/>
    <w:rsid w:val="005C3B23"/>
    <w:rsid w:val="005D38C1"/>
    <w:rsid w:val="006057AD"/>
    <w:rsid w:val="00660515"/>
    <w:rsid w:val="00682BBF"/>
    <w:rsid w:val="006928C1"/>
    <w:rsid w:val="006F31BE"/>
    <w:rsid w:val="006F74B3"/>
    <w:rsid w:val="00760C7E"/>
    <w:rsid w:val="00782AA2"/>
    <w:rsid w:val="0079302D"/>
    <w:rsid w:val="007F038B"/>
    <w:rsid w:val="007F3EF6"/>
    <w:rsid w:val="0081244D"/>
    <w:rsid w:val="008253A0"/>
    <w:rsid w:val="00830D9F"/>
    <w:rsid w:val="0083402C"/>
    <w:rsid w:val="0084474C"/>
    <w:rsid w:val="0088668D"/>
    <w:rsid w:val="0089567F"/>
    <w:rsid w:val="008A57DC"/>
    <w:rsid w:val="008C5B00"/>
    <w:rsid w:val="008E7236"/>
    <w:rsid w:val="008F3484"/>
    <w:rsid w:val="00914E9F"/>
    <w:rsid w:val="00917D06"/>
    <w:rsid w:val="00936C62"/>
    <w:rsid w:val="00937AD3"/>
    <w:rsid w:val="00966443"/>
    <w:rsid w:val="009A485F"/>
    <w:rsid w:val="009C3FAB"/>
    <w:rsid w:val="009D48A1"/>
    <w:rsid w:val="00A77806"/>
    <w:rsid w:val="00AA1AE6"/>
    <w:rsid w:val="00C22EC0"/>
    <w:rsid w:val="00C71A4D"/>
    <w:rsid w:val="00C71E6B"/>
    <w:rsid w:val="00C91FB3"/>
    <w:rsid w:val="00CB2BAE"/>
    <w:rsid w:val="00CC5994"/>
    <w:rsid w:val="00CD5EE8"/>
    <w:rsid w:val="00CE3E41"/>
    <w:rsid w:val="00CF6AAD"/>
    <w:rsid w:val="00D142D9"/>
    <w:rsid w:val="00D35576"/>
    <w:rsid w:val="00D42FE8"/>
    <w:rsid w:val="00D511F9"/>
    <w:rsid w:val="00D94667"/>
    <w:rsid w:val="00DC3E84"/>
    <w:rsid w:val="00E27556"/>
    <w:rsid w:val="00EE43D5"/>
    <w:rsid w:val="00F13147"/>
    <w:rsid w:val="00F32095"/>
    <w:rsid w:val="00F47D62"/>
    <w:rsid w:val="00F62292"/>
    <w:rsid w:val="00FA20D0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AABE"/>
  <w15:chartTrackingRefBased/>
  <w15:docId w15:val="{224AD500-6FB5-48ED-B206-1B7C42C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CB02ArticleText">
    <w:name w:val="RSC B02 Article Text"/>
    <w:basedOn w:val="Normal"/>
    <w:link w:val="RSCB02ArticleTextChar"/>
    <w:qFormat/>
    <w:rsid w:val="00E27556"/>
    <w:pPr>
      <w:spacing w:after="0" w:line="240" w:lineRule="exact"/>
      <w:jc w:val="both"/>
    </w:pPr>
    <w:rPr>
      <w:rFonts w:cs="Times New Roman"/>
      <w:w w:val="108"/>
      <w:sz w:val="18"/>
      <w:szCs w:val="18"/>
    </w:rPr>
  </w:style>
  <w:style w:type="character" w:customStyle="1" w:styleId="RSCB02ArticleTextChar">
    <w:name w:val="RSC B02 Article Text Char"/>
    <w:basedOn w:val="DefaultParagraphFont"/>
    <w:link w:val="RSCB02ArticleText"/>
    <w:rsid w:val="00E27556"/>
    <w:rPr>
      <w:rFonts w:cs="Times New Roman"/>
      <w:w w:val="108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7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556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556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928C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5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image" Target="media/image15.tif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adamc2391@outlook.com</dc:creator>
  <cp:keywords/>
  <dc:description/>
  <cp:lastModifiedBy>adamc2391@outlook.com</cp:lastModifiedBy>
  <cp:revision>471</cp:revision>
  <dcterms:created xsi:type="dcterms:W3CDTF">2021-06-08T09:56:00Z</dcterms:created>
  <dcterms:modified xsi:type="dcterms:W3CDTF">2021-06-08T14:20:00Z</dcterms:modified>
</cp:coreProperties>
</file>