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0"/>
          <w:szCs w:val="40"/>
        </w:rPr>
        <w:t xml:space="preserve">Data Modeling &amp; Data Warehouse Design</w:t>
      </w:r>
    </w:p>
    <w:p>
      <w:pPr>
        <w:spacing w:after="80" w:before="80"/>
        <w:jc w:val="center"/>
      </w:pPr>
      <w:r>
        <w:rPr>
          <w:rFonts w:ascii="Arial" w:cs="Arial" w:eastAsia="Arial" w:hAnsi="Arial"/>
          <w:color w:val="2E75B6"/>
          <w:sz w:val="28"/>
          <w:szCs w:val="28"/>
        </w:rPr>
        <w:t xml:space="preserve">Portfolio Case Study — DataCo Smart Supply Chain</w:t>
      </w:r>
    </w:p>
    <w:p>
      <w:pPr>
        <w:spacing w:after="480" w:before="80"/>
        <w:jc w:val="center"/>
      </w:pPr>
      <w:r>
        <w:rPr>
          <w:rFonts w:ascii="Arial" w:cs="Arial" w:eastAsia="Arial" w:hAnsi="Arial"/>
          <w:i/>
          <w:iCs/>
          <w:color w:val="888888"/>
          <w:sz w:val="22"/>
          <w:szCs w:val="22"/>
        </w:rPr>
        <w:t xml:space="preserve">Relational Database Design &amp; ER Modeling | GBA 6220, Cal Poly Pomona</w:t>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Project Overview</w:t>
      </w:r>
    </w:p>
    <w:p>
      <w:pPr>
        <w:spacing w:after="80" w:before="80"/>
      </w:pPr>
      <w:r>
        <w:rPr>
          <w:rFonts w:ascii="Arial" w:cs="Arial" w:eastAsia="Arial" w:hAnsi="Arial"/>
          <w:sz w:val="22"/>
          <w:szCs w:val="22"/>
        </w:rPr>
        <w:t xml:space="preserve">This project involved designing a relational database and data warehouse for a global supply chain business domain, as part of a graduate-level Data Modeling &amp; Data Warehouse course. Working within a 4-person team, I owned Phase 1 of the project end-to-end: dataset selection, data preparation, business rule documentation, and entity-relationship (ER) modeling — the foundation that the rest of the team built their database, data warehouse, and BI deliverables on top of.</w:t>
      </w:r>
    </w:p>
    <w:p>
      <w:pPr>
        <w:spacing w:after="60" w:before="60"/>
      </w:pPr>
      <w:r>
        <w:t xml:space="preserve"/>
      </w:r>
    </w:p>
    <w:p>
      <w:pPr>
        <w:spacing w:after="80" w:before="80"/>
      </w:pPr>
      <w:r>
        <w:rPr>
          <w:rFonts w:ascii="Arial" w:cs="Arial" w:eastAsia="Arial" w:hAnsi="Arial"/>
          <w:sz w:val="22"/>
          <w:szCs w:val="22"/>
        </w:rPr>
        <w:t xml:space="preserve">The finished data model consists of 11 relational entities derived from a raw 53-column, 180,000-row dataset, fully normalized, documented, and validated for handoff to database implementation.</w:t>
      </w:r>
    </w:p>
    <w:p>
      <w:pPr>
        <w:spacing w:after="60" w:before="6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My Role</w:t>
      </w:r>
    </w:p>
    <w:p>
      <w:pPr>
        <w:spacing w:after="80" w:before="80"/>
      </w:pPr>
      <w:r>
        <w:rPr>
          <w:rFonts w:ascii="Arial" w:cs="Arial" w:eastAsia="Arial" w:hAnsi="Arial"/>
          <w:sz w:val="22"/>
          <w:szCs w:val="22"/>
        </w:rPr>
        <w:t xml:space="preserve">Data Modeler / Business Analyst (Phase 1 Lead) — responsible for translating a large, messy real-world dataset into a clean, well-documented relational schema ready for database implementation by a teammate.</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Selected and vetted the dataset against project requirements and academic originality concerns</w:t>
      </w:r>
    </w:p>
    <w:p>
      <w:pPr>
        <w:pStyle w:val="ListParagraph"/>
        <w:numPr>
          <w:ilvl w:val="0"/>
          <w:numId w:val="2"/>
        </w:numPr>
        <w:spacing w:after="60" w:before="60"/>
      </w:pPr>
      <w:r>
        <w:rPr>
          <w:rFonts w:ascii="Arial" w:cs="Arial" w:eastAsia="Arial" w:hAnsi="Arial"/>
          <w:sz w:val="22"/>
          <w:szCs w:val="22"/>
        </w:rPr>
        <w:t xml:space="preserve">Performed all data cleaning and preparation in Python</w:t>
      </w:r>
    </w:p>
    <w:p>
      <w:pPr>
        <w:pStyle w:val="ListParagraph"/>
        <w:numPr>
          <w:ilvl w:val="0"/>
          <w:numId w:val="2"/>
        </w:numPr>
        <w:spacing w:after="60" w:before="60"/>
      </w:pPr>
      <w:r>
        <w:rPr>
          <w:rFonts w:ascii="Arial" w:cs="Arial" w:eastAsia="Arial" w:hAnsi="Arial"/>
          <w:sz w:val="22"/>
          <w:szCs w:val="22"/>
        </w:rPr>
        <w:t xml:space="preserve">Authored the full business rules documentation for all entities</w:t>
      </w:r>
    </w:p>
    <w:p>
      <w:pPr>
        <w:pStyle w:val="ListParagraph"/>
        <w:numPr>
          <w:ilvl w:val="0"/>
          <w:numId w:val="2"/>
        </w:numPr>
        <w:spacing w:after="60" w:before="60"/>
      </w:pPr>
      <w:r>
        <w:rPr>
          <w:rFonts w:ascii="Arial" w:cs="Arial" w:eastAsia="Arial" w:hAnsi="Arial"/>
          <w:sz w:val="22"/>
          <w:szCs w:val="22"/>
        </w:rPr>
        <w:t xml:space="preserve">Designed and iteratively refined the ER diagram in MySQL Workbench</w:t>
      </w:r>
    </w:p>
    <w:p>
      <w:pPr>
        <w:pStyle w:val="ListParagraph"/>
        <w:numPr>
          <w:ilvl w:val="0"/>
          <w:numId w:val="2"/>
        </w:numPr>
        <w:spacing w:after="60" w:before="60"/>
      </w:pPr>
      <w:r>
        <w:rPr>
          <w:rFonts w:ascii="Arial" w:cs="Arial" w:eastAsia="Arial" w:hAnsi="Arial"/>
          <w:sz w:val="22"/>
          <w:szCs w:val="22"/>
        </w:rPr>
        <w:t xml:space="preserve">Produced a complete data dictionary and handoff documentation for the database development phase</w:t>
      </w:r>
    </w:p>
    <w:p>
      <w:pPr>
        <w:spacing w:after="60" w:before="6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Tools &amp; Technologies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000"/>
        <w:gridCol w:w="66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Category</w:t>
            </w:r>
          </w:p>
        </w:tc>
        <w:tc>
          <w:tcPr>
            <w:tcW w:type="dxa" w:w="66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Tools Used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Data Preparation</w:t>
            </w:r>
          </w:p>
        </w:tc>
        <w:tc>
          <w:tcPr>
            <w:tcW w:type="dxa" w:w="6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Python, Jupyter Notebook, pandas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 Design</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MySQL, MySQL Workbench (ERD / Chen notation)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Documentation</w:t>
            </w:r>
          </w:p>
        </w:tc>
        <w:tc>
          <w:tcPr>
            <w:tcW w:type="dxa" w:w="6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Microsoft Word, structured data dictionaries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Source Data</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Kaggle (DataCo Smart Supply Chain dataset)</w:t>
            </w:r>
          </w:p>
        </w:tc>
      </w:tr>
    </w:tbl>
    <w:p>
      <w:pPr>
        <w:spacing w:after="60" w:before="6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Dataset Selection &amp; Rationale</w:t>
      </w:r>
    </w:p>
    <w:p>
      <w:pPr>
        <w:spacing w:after="80" w:before="80"/>
      </w:pPr>
      <w:r>
        <w:rPr>
          <w:rFonts w:ascii="Arial" w:cs="Arial" w:eastAsia="Arial" w:hAnsi="Arial"/>
          <w:sz w:val="22"/>
          <w:szCs w:val="22"/>
        </w:rPr>
        <w:t xml:space="preserve">The team evaluated several candidate datasets (Northwind, Chinook, Superstore, Hotel Booking Demand) against three criteria: sufficient entity complexity to meet the project's 10-entity minimum, data quality suitable for an intermediate SQL skill level, and academic originality.</w:t>
      </w:r>
    </w:p>
    <w:p>
      <w:pPr>
        <w:spacing w:after="60" w:before="60"/>
      </w:pPr>
      <w:r>
        <w:t xml:space="preserve"/>
      </w:r>
    </w:p>
    <w:p>
      <w:pPr>
        <w:spacing w:after="80" w:before="80"/>
      </w:pPr>
      <w:r>
        <w:rPr>
          <w:rFonts w:ascii="Arial" w:cs="Arial" w:eastAsia="Arial" w:hAnsi="Arial"/>
          <w:sz w:val="22"/>
          <w:szCs w:val="22"/>
        </w:rPr>
        <w:t xml:space="preserve">Northwind — the most commonly used academic dataset for this type of project — was deliberately ruled out despite being the easiest option, because its ubiquity in coursework meant pre-built solutions were widely available online, undermining the originality of the team's work. The DataCo Smart Supply Chain dataset was selected instead: a ~180,000-row, 53-column dataset covering the full order-to-shipment lifecycle of a global supply chain operation, offering rich, realistic relationships across customers, products, orders, shipments, and international markets.</w:t>
      </w:r>
    </w:p>
    <w:p>
      <w:pPr>
        <w:spacing w:after="60" w:before="6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Data Preparation Process</w:t>
      </w:r>
    </w:p>
    <w:p>
      <w:pPr>
        <w:spacing w:after="80" w:before="80"/>
      </w:pPr>
      <w:r>
        <w:rPr>
          <w:rFonts w:ascii="Arial" w:cs="Arial" w:eastAsia="Arial" w:hAnsi="Arial"/>
          <w:sz w:val="22"/>
          <w:szCs w:val="22"/>
        </w:rPr>
        <w:t xml:space="preserve">The raw dataset required substantial cleaning before it could be modeled. All preparation was performed in Python using Jupyter Notebook, chosen for its ability to efficiently handle the dataset's scale (180,000 rows) — a poor fit for manual spreadsheet-based cleaning.</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Diagnosed and corrected a Latin-encoding issue that was corrupting special characters in international geographic fields; re-exported as UTF-8-SIG</w:t>
      </w:r>
    </w:p>
    <w:p>
      <w:pPr>
        <w:pStyle w:val="ListParagraph"/>
        <w:numPr>
          <w:ilvl w:val="0"/>
          <w:numId w:val="2"/>
        </w:numPr>
        <w:spacing w:after="60" w:before="60"/>
      </w:pPr>
      <w:r>
        <w:rPr>
          <w:rFonts w:ascii="Arial" w:cs="Arial" w:eastAsia="Arial" w:hAnsi="Arial"/>
          <w:sz w:val="22"/>
          <w:szCs w:val="22"/>
        </w:rPr>
        <w:t xml:space="preserve">Identified and removed non-usable columns (placeholder/dummy fields with no real data, e.g. masked emails and passwords) and duplicate columns carrying identical values under different names</w:t>
      </w:r>
    </w:p>
    <w:p>
      <w:pPr>
        <w:pStyle w:val="ListParagraph"/>
        <w:numPr>
          <w:ilvl w:val="0"/>
          <w:numId w:val="2"/>
        </w:numPr>
        <w:spacing w:after="60" w:before="60"/>
      </w:pPr>
      <w:r>
        <w:rPr>
          <w:rFonts w:ascii="Arial" w:cs="Arial" w:eastAsia="Arial" w:hAnsi="Arial"/>
          <w:sz w:val="22"/>
          <w:szCs w:val="22"/>
        </w:rPr>
        <w:t xml:space="preserve">Standardized all column names into a consistent, SQL-friendly naming convention</w:t>
      </w:r>
    </w:p>
    <w:p>
      <w:pPr>
        <w:pStyle w:val="ListParagraph"/>
        <w:numPr>
          <w:ilvl w:val="0"/>
          <w:numId w:val="2"/>
        </w:numPr>
        <w:spacing w:after="60" w:before="60"/>
      </w:pPr>
      <w:r>
        <w:rPr>
          <w:rFonts w:ascii="Arial" w:cs="Arial" w:eastAsia="Arial" w:hAnsi="Arial"/>
          <w:sz w:val="22"/>
          <w:szCs w:val="22"/>
        </w:rPr>
        <w:t xml:space="preserve">Restructured and renamed a group of columns to correctly reflect their role as a transactional line-item (junction) entity rather than loose attributes</w:t>
      </w:r>
    </w:p>
    <w:p>
      <w:pPr>
        <w:pStyle w:val="ListParagraph"/>
        <w:numPr>
          <w:ilvl w:val="0"/>
          <w:numId w:val="2"/>
        </w:numPr>
        <w:spacing w:after="60" w:before="60"/>
      </w:pPr>
      <w:r>
        <w:rPr>
          <w:rFonts w:ascii="Arial" w:cs="Arial" w:eastAsia="Arial" w:hAnsi="Arial"/>
          <w:sz w:val="22"/>
          <w:szCs w:val="22"/>
        </w:rPr>
        <w:t xml:space="preserve">Resolved a data quality issue where a geographic field mixed Spanish-language values into an otherwise English dataset, standardizing it for consistency</w:t>
      </w:r>
    </w:p>
    <w:p>
      <w:pPr>
        <w:pStyle w:val="ListParagraph"/>
        <w:numPr>
          <w:ilvl w:val="0"/>
          <w:numId w:val="2"/>
        </w:numPr>
        <w:spacing w:after="60" w:before="60"/>
      </w:pPr>
      <w:r>
        <w:rPr>
          <w:rFonts w:ascii="Arial" w:cs="Arial" w:eastAsia="Arial" w:hAnsi="Arial"/>
          <w:sz w:val="22"/>
          <w:szCs w:val="22"/>
        </w:rPr>
        <w:t xml:space="preserve">Investigated and resolved ambiguous/overlapping financial columns by tracing their exact calculation logic against the data (e.g. distinguishing a pre-discount 'gross sales' value from a post-discount 'net total' value, and identifying a redundant profit metric that duplicated an existing column)</w:t>
      </w:r>
    </w:p>
    <w:p>
      <w:pPr>
        <w:pStyle w:val="ListParagraph"/>
        <w:numPr>
          <w:ilvl w:val="0"/>
          <w:numId w:val="2"/>
        </w:numPr>
        <w:spacing w:after="60" w:before="60"/>
      </w:pPr>
      <w:r>
        <w:rPr>
          <w:rFonts w:ascii="Arial" w:cs="Arial" w:eastAsia="Arial" w:hAnsi="Arial"/>
          <w:sz w:val="22"/>
          <w:szCs w:val="22"/>
        </w:rPr>
        <w:t xml:space="preserve">Reduced the dataset from 53 to 42 columns without losing any information needed for the model</w:t>
      </w:r>
    </w:p>
    <w:p>
      <w:pPr>
        <w:spacing w:after="60" w:before="6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Data Modeling Approach</w:t>
      </w:r>
    </w:p>
    <w:p>
      <w:pPr>
        <w:pStyle w:val="Heading2"/>
        <w:spacing w:after="120" w:before="240"/>
      </w:pPr>
      <w:r>
        <w:rPr>
          <w:rFonts w:ascii="Arial" w:cs="Arial" w:eastAsia="Arial" w:hAnsi="Arial"/>
          <w:b/>
          <w:bCs/>
          <w:color w:val="2E75B6"/>
          <w:sz w:val="26"/>
          <w:szCs w:val="26"/>
        </w:rPr>
        <w:t xml:space="preserve">Entity Design</w:t>
      </w:r>
    </w:p>
    <w:p>
      <w:pPr>
        <w:spacing w:after="80" w:before="80"/>
      </w:pPr>
      <w:r>
        <w:rPr>
          <w:rFonts w:ascii="Arial" w:cs="Arial" w:eastAsia="Arial" w:hAnsi="Arial"/>
          <w:sz w:val="22"/>
          <w:szCs w:val="22"/>
        </w:rPr>
        <w:t xml:space="preserve">The 42 prepared columns were grouped into 11 relational entities, balancing normalization principles against practical query simplicity. Entities were classified by role to make design intent explicit:</w:t>
      </w:r>
    </w:p>
    <w:p>
      <w:pPr>
        <w:spacing w:after="60" w:before="6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060"/>
      </w:tblGrid>
      <w:tr>
        <w:trPr>
          <w:tblHeader/>
        </w:trPr>
        <w:tc>
          <w:tcPr>
            <w:tcW w:type="dxa" w:w="1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Entity Type</w:t>
            </w:r>
          </w:p>
        </w:tc>
        <w:tc>
          <w:tcPr>
            <w:tcW w:type="dxa" w:w="36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Entities</w:t>
            </w:r>
          </w:p>
        </w:tc>
        <w:tc>
          <w:tcPr>
            <w:tcW w:type="dxa" w:w="40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Purpose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Core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CUSTOMER, PRODUCT, ORDER, ORDER_LOCATION</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Primary business objects with independent existence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Junction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LINE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Resolves the many-to-many relationship between ORDER and PRODUCT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Weak</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SHIPMENT</w:t>
            </w:r>
          </w:p>
        </w:tc>
        <w:tc>
          <w:tcPr>
            <w:tcW w:type="dxa" w:w="40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Existence-dependent on ORDER (1:1 relationship)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Lookup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DEPARTMENT, CATEGORY, SHIPPING_MODE, PAYMENT_TYPE, MARKET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Normalized reference/dimension-style tables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Key Modeling Decisions</w:t>
      </w:r>
    </w:p>
    <w:p>
      <w:pPr>
        <w:pStyle w:val="ListParagraph"/>
        <w:numPr>
          <w:ilvl w:val="0"/>
          <w:numId w:val="2"/>
        </w:numPr>
        <w:spacing w:after="60" w:before="60"/>
      </w:pPr>
      <w:r>
        <w:rPr>
          <w:rFonts w:ascii="Arial" w:cs="Arial" w:eastAsia="Arial" w:hAnsi="Arial"/>
          <w:sz w:val="22"/>
          <w:szCs w:val="22"/>
        </w:rPr>
        <w:t xml:space="preserve">Surrogate keys: five entities (SHIPMENT, SHIPPING_MODE, PAYMENT_TYPE, MARKET, ORDER_LOCATION) had no natural key in the source data. Introduced AUTO_INCREMENT surrogate keys for each, following standard relational design practice</w:t>
      </w:r>
    </w:p>
    <w:p>
      <w:pPr>
        <w:pStyle w:val="ListParagraph"/>
        <w:numPr>
          <w:ilvl w:val="0"/>
          <w:numId w:val="2"/>
        </w:numPr>
        <w:spacing w:after="60" w:before="60"/>
      </w:pPr>
      <w:r>
        <w:rPr>
          <w:rFonts w:ascii="Arial" w:cs="Arial" w:eastAsia="Arial" w:hAnsi="Arial"/>
          <w:sz w:val="22"/>
          <w:szCs w:val="22"/>
        </w:rPr>
        <w:t xml:space="preserve">Derived-value elimination: identified two financial columns that were either duplicates of an existing measure or ambiguous/overlapping in meaning, and removed both from the physical model — keeping the schema normalized and avoiding conflicting sources of truth for the same metric</w:t>
      </w:r>
    </w:p>
    <w:p>
      <w:pPr>
        <w:pStyle w:val="ListParagraph"/>
        <w:numPr>
          <w:ilvl w:val="0"/>
          <w:numId w:val="2"/>
        </w:numPr>
        <w:spacing w:after="60" w:before="60"/>
      </w:pPr>
      <w:r>
        <w:rPr>
          <w:rFonts w:ascii="Arial" w:cs="Arial" w:eastAsia="Arial" w:hAnsi="Arial"/>
          <w:sz w:val="22"/>
          <w:szCs w:val="22"/>
        </w:rPr>
        <w:t xml:space="preserve">Enforced a true one-to-one relationship between ORDER and SHIPMENT using a UNIQUE constraint on the foreign key, rather than relying on cardinality documentation alone</w:t>
      </w:r>
    </w:p>
    <w:p>
      <w:pPr>
        <w:pStyle w:val="ListParagraph"/>
        <w:numPr>
          <w:ilvl w:val="0"/>
          <w:numId w:val="2"/>
        </w:numPr>
        <w:spacing w:after="60" w:before="60"/>
      </w:pPr>
      <w:r>
        <w:rPr>
          <w:rFonts w:ascii="Arial" w:cs="Arial" w:eastAsia="Arial" w:hAnsi="Arial"/>
          <w:sz w:val="22"/>
          <w:szCs w:val="22"/>
        </w:rPr>
        <w:t xml:space="preserve">Renamed an RFID-implementation-specific identifier to a clean, convention-consistent primary key name across the schema</w:t>
      </w:r>
    </w:p>
    <w:p>
      <w:pPr>
        <w:spacing w:after="60" w:before="6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Business Rules Documentation</w:t>
      </w:r>
    </w:p>
    <w:p>
      <w:pPr>
        <w:spacing w:after="80" w:before="80"/>
      </w:pPr>
      <w:r>
        <w:rPr>
          <w:rFonts w:ascii="Arial" w:cs="Arial" w:eastAsia="Arial" w:hAnsi="Arial"/>
          <w:sz w:val="22"/>
          <w:szCs w:val="22"/>
        </w:rPr>
        <w:t xml:space="preserve">Authored a complete set of business rules covering all 11 entities, including entity integrity (primary keys), referential integrity (foreign key relationships), cardinality of every relationship, valid categorical value sets, nullable field justification, and binary flag definitions. Each relationship was also documented with a descriptive verb (e.g. "CUSTOMER places ORDER", "ORDER generates SHIPMENT") to make the model's logic legible to non-technical reviewers.</w:t>
      </w:r>
    </w:p>
    <w:p>
      <w:pPr>
        <w:spacing w:after="60" w:before="6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ERD Development</w:t>
      </w:r>
    </w:p>
    <w:p>
      <w:pPr>
        <w:spacing w:after="80" w:before="80"/>
      </w:pPr>
      <w:r>
        <w:rPr>
          <w:rFonts w:ascii="Arial" w:cs="Arial" w:eastAsia="Arial" w:hAnsi="Arial"/>
          <w:sz w:val="22"/>
          <w:szCs w:val="22"/>
        </w:rPr>
        <w:t xml:space="preserve">Built and iteratively refined the ER diagram in MySQL Workbench using Chen notation. The ERD went through multiple structured review passes to catch and correct: missing columns on the junction entity, inconsistent AUTO_INCREMENT settings across surrogate keys, a missing UNIQUE constraint needed to enforce a 1:1 relationship, and a redundant index left over from an earlier revision — reflecting a disciplined, review-driven approach to schema design rather than a one-pass build.</w:t>
      </w:r>
    </w:p>
    <w:p>
      <w:pPr>
        <w:spacing w:after="60" w:before="6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Deliverables Produced</w:t>
      </w:r>
    </w:p>
    <w:p>
      <w:pPr>
        <w:pStyle w:val="ListParagraph"/>
        <w:numPr>
          <w:ilvl w:val="0"/>
          <w:numId w:val="2"/>
        </w:numPr>
        <w:spacing w:after="60" w:before="60"/>
      </w:pPr>
      <w:r>
        <w:rPr>
          <w:rFonts w:ascii="Arial" w:cs="Arial" w:eastAsia="Arial" w:hAnsi="Arial"/>
          <w:sz w:val="22"/>
          <w:szCs w:val="22"/>
        </w:rPr>
        <w:t xml:space="preserve">Data preparation write-up documenting every transformation step and its rationale</w:t>
      </w:r>
    </w:p>
    <w:p>
      <w:pPr>
        <w:pStyle w:val="ListParagraph"/>
        <w:numPr>
          <w:ilvl w:val="0"/>
          <w:numId w:val="2"/>
        </w:numPr>
        <w:spacing w:after="60" w:before="60"/>
      </w:pPr>
      <w:r>
        <w:rPr>
          <w:rFonts w:ascii="Arial" w:cs="Arial" w:eastAsia="Arial" w:hAnsi="Arial"/>
          <w:sz w:val="22"/>
          <w:szCs w:val="22"/>
        </w:rPr>
        <w:t xml:space="preserve">Full business rules documentation for all 11 entities</w:t>
      </w:r>
    </w:p>
    <w:p>
      <w:pPr>
        <w:pStyle w:val="ListParagraph"/>
        <w:numPr>
          <w:ilvl w:val="0"/>
          <w:numId w:val="2"/>
        </w:numPr>
        <w:spacing w:after="60" w:before="60"/>
      </w:pPr>
      <w:r>
        <w:rPr>
          <w:rFonts w:ascii="Arial" w:cs="Arial" w:eastAsia="Arial" w:hAnsi="Arial"/>
          <w:sz w:val="22"/>
          <w:szCs w:val="22"/>
        </w:rPr>
        <w:t xml:space="preserve">Entity-relationship diagram (MySQL Workbench, Chen notation) — 11 entities, all constraints and data types defined</w:t>
      </w:r>
    </w:p>
    <w:p>
      <w:pPr>
        <w:pStyle w:val="ListParagraph"/>
        <w:numPr>
          <w:ilvl w:val="0"/>
          <w:numId w:val="2"/>
        </w:numPr>
        <w:spacing w:after="60" w:before="60"/>
      </w:pPr>
      <w:r>
        <w:rPr>
          <w:rFonts w:ascii="Arial" w:cs="Arial" w:eastAsia="Arial" w:hAnsi="Arial"/>
          <w:sz w:val="22"/>
          <w:szCs w:val="22"/>
        </w:rPr>
        <w:t xml:space="preserve">Comprehensive data dictionary — column-level definitions, data types, constraints, and relationship summary</w:t>
      </w:r>
    </w:p>
    <w:p>
      <w:pPr>
        <w:pStyle w:val="ListParagraph"/>
        <w:numPr>
          <w:ilvl w:val="0"/>
          <w:numId w:val="2"/>
        </w:numPr>
        <w:spacing w:after="60" w:before="60"/>
      </w:pPr>
      <w:r>
        <w:rPr>
          <w:rFonts w:ascii="Arial" w:cs="Arial" w:eastAsia="Arial" w:hAnsi="Arial"/>
          <w:sz w:val="22"/>
          <w:szCs w:val="22"/>
        </w:rPr>
        <w:t xml:space="preserve">Database creation handoff notes — surrogate key list, data type casting guidance, nullable field justification, and required table creation order to satisfy foreign key dependencies</w:t>
      </w:r>
    </w:p>
    <w:p>
      <w:pPr>
        <w:pStyle w:val="ListParagraph"/>
        <w:numPr>
          <w:ilvl w:val="0"/>
          <w:numId w:val="2"/>
        </w:numPr>
        <w:spacing w:after="60" w:before="60"/>
      </w:pPr>
      <w:r>
        <w:rPr>
          <w:rFonts w:ascii="Arial" w:cs="Arial" w:eastAsia="Arial" w:hAnsi="Arial"/>
          <w:sz w:val="22"/>
          <w:szCs w:val="22"/>
        </w:rPr>
        <w:t xml:space="preserve">Team work-split and delivery plan for the group's remaining project phases</w:t>
      </w:r>
    </w:p>
    <w:p>
      <w:pPr>
        <w:spacing w:after="60" w:before="6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Skills Demonstrated</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74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Category</w:t>
            </w:r>
          </w:p>
        </w:tc>
        <w:tc>
          <w:tcPr>
            <w:tcW w:type="dxa" w:w="7460"/>
            <w:tcBorders>
              <w:top w:val="single" w:color="1F4E79" w:sz="1"/>
              <w:left w:val="single" w:color="1F4E79" w:sz="1"/>
              <w:bottom w:val="single" w:color="1F4E79" w:sz="1"/>
              <w:right w:val="single" w:color="1F4E79" w:sz="1"/>
            </w:tcBorders>
            <w:shd w:fill="1F4E79"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Skills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Data Modeling</w:t>
            </w:r>
          </w:p>
        </w:tc>
        <w:tc>
          <w:tcPr>
            <w:tcW w:type="dxa" w:w="7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ER modeling, normalization, entity classification (strong/weak/junction), surrogate key design, cardinality 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Engineering</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Python-based data cleaning at scale, encoding diagnostics, data quality investigation, column standardization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Database Design</w:t>
            </w:r>
          </w:p>
        </w:tc>
        <w:tc>
          <w:tcPr>
            <w:tcW w:type="dxa" w:w="7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MySQL Workbench, Chen notation, constraint design (PK/FK/UNIQUE), data type selection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Documentation</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 dictionary authoring, business rule specification, cross-team technical handoff writing</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Critical Thinking</w:t>
            </w:r>
          </w:p>
        </w:tc>
        <w:tc>
          <w:tcPr>
            <w:tcW w:type="dxa" w:w="7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9"/>
                <w:szCs w:val="19"/>
              </w:rPr>
              <w:t xml:space="preserve">Tracing ambiguous fields back to their source calculations, evaluating dataset choices against academic integrity and project requirements</w:t>
            </w:r>
          </w:p>
        </w:tc>
      </w:tr>
    </w:tbl>
    <w:p>
      <w:pPr>
        <w:spacing w:after="60" w:before="60"/>
      </w:pPr>
      <w:r>
        <w:t xml:space="preserve"/>
      </w:r>
    </w:p>
    <w:p>
      <w:pPr>
        <w:pBdr>
          <w:bottom w:val="single" w:color="2E75B6" w:sz="6" w:space="1"/>
        </w:pBdr>
        <w:spacing w:after="160" w:before="160"/>
      </w:pPr>
      <w:r>
        <w:t xml:space="preserve"/>
      </w:r>
    </w:p>
    <w:p>
      <w:pPr>
        <w:pStyle w:val="Heading1"/>
        <w:spacing w:after="160" w:before="320"/>
      </w:pPr>
      <w:r>
        <w:rPr>
          <w:rFonts w:ascii="Arial" w:cs="Arial" w:eastAsia="Arial" w:hAnsi="Arial"/>
          <w:b/>
          <w:bCs/>
          <w:color w:val="1F4E79"/>
          <w:sz w:val="32"/>
          <w:szCs w:val="32"/>
        </w:rPr>
        <w:t xml:space="preserve">Resume Bullet Points</w:t>
      </w:r>
    </w:p>
    <w:p>
      <w:pPr>
        <w:spacing w:after="80" w:before="80"/>
      </w:pPr>
      <w:r>
        <w:rPr>
          <w:rFonts w:ascii="Arial" w:cs="Arial" w:eastAsia="Arial" w:hAnsi="Arial"/>
          <w:sz w:val="22"/>
          <w:szCs w:val="22"/>
        </w:rPr>
        <w:t xml:space="preserve">Ready-to-use bullet points for a resume or LinkedIn experience section:</w:t>
      </w:r>
    </w:p>
    <w:p>
      <w:pPr>
        <w:spacing w:after="60" w:before="60"/>
      </w:pPr>
      <w:r>
        <w:t xml:space="preserve"/>
      </w:r>
    </w:p>
    <w:p>
      <w:pPr>
        <w:pStyle w:val="ListParagraph"/>
        <w:numPr>
          <w:ilvl w:val="0"/>
          <w:numId w:val="2"/>
        </w:numPr>
        <w:spacing w:after="60" w:before="60"/>
      </w:pPr>
      <w:r>
        <w:rPr>
          <w:rFonts w:ascii="Arial" w:cs="Arial" w:eastAsia="Arial" w:hAnsi="Arial"/>
          <w:sz w:val="22"/>
          <w:szCs w:val="22"/>
        </w:rPr>
        <w:t xml:space="preserve">Designed and documented an 11-entity relational database schema for a 180K-row global supply chain dataset, translating raw business data into a normalized ER model using MySQL Workbench and Chen notation</w:t>
      </w:r>
    </w:p>
    <w:p>
      <w:pPr>
        <w:pStyle w:val="ListParagraph"/>
        <w:numPr>
          <w:ilvl w:val="0"/>
          <w:numId w:val="2"/>
        </w:numPr>
        <w:spacing w:after="60" w:before="60"/>
      </w:pPr>
      <w:r>
        <w:rPr>
          <w:rFonts w:ascii="Arial" w:cs="Arial" w:eastAsia="Arial" w:hAnsi="Arial"/>
          <w:sz w:val="22"/>
          <w:szCs w:val="22"/>
        </w:rPr>
        <w:t xml:space="preserve">Led end-to-end data preparation in Python/Jupyter for a 53-column dataset, resolving encoding errors, eliminating redundant/derived fields, and standardizing schema conventions to reduce the dataset to 42 analysis-ready columns</w:t>
      </w:r>
    </w:p>
    <w:p>
      <w:pPr>
        <w:pStyle w:val="ListParagraph"/>
        <w:numPr>
          <w:ilvl w:val="0"/>
          <w:numId w:val="2"/>
        </w:numPr>
        <w:spacing w:after="60" w:before="60"/>
      </w:pPr>
      <w:r>
        <w:rPr>
          <w:rFonts w:ascii="Arial" w:cs="Arial" w:eastAsia="Arial" w:hAnsi="Arial"/>
          <w:sz w:val="22"/>
          <w:szCs w:val="22"/>
        </w:rPr>
        <w:t xml:space="preserve">Authored complete business rules and a full data dictionary covering entity integrity, referential integrity, cardinality, and data type standards, enabling clean handoff to database implementation</w:t>
      </w:r>
    </w:p>
    <w:p>
      <w:pPr>
        <w:pStyle w:val="ListParagraph"/>
        <w:numPr>
          <w:ilvl w:val="0"/>
          <w:numId w:val="2"/>
        </w:numPr>
        <w:spacing w:after="60" w:before="60"/>
      </w:pPr>
      <w:r>
        <w:rPr>
          <w:rFonts w:ascii="Arial" w:cs="Arial" w:eastAsia="Arial" w:hAnsi="Arial"/>
          <w:sz w:val="22"/>
          <w:szCs w:val="22"/>
        </w:rPr>
        <w:t xml:space="preserve">Evaluated and selected a dataset over more common academic alternatives based on modeling requirements and originality considerations, demonstrating independent technical judgment</w:t>
      </w:r>
    </w:p>
    <w:p>
      <w:pPr>
        <w:pStyle w:val="ListParagraph"/>
        <w:numPr>
          <w:ilvl w:val="0"/>
          <w:numId w:val="2"/>
        </w:numPr>
        <w:spacing w:after="60" w:before="60"/>
      </w:pPr>
      <w:r>
        <w:rPr>
          <w:rFonts w:ascii="Arial" w:cs="Arial" w:eastAsia="Arial" w:hAnsi="Arial"/>
          <w:sz w:val="22"/>
          <w:szCs w:val="22"/>
        </w:rPr>
        <w:t xml:space="preserve">Diagnosed and resolved data ambiguity in financial fields by reverse-engineering calculation logic (e.g., differentiating gross vs. net sales measures), improving schema accuracy prior to implementation</w:t>
      </w:r>
    </w:p>
    <w:p>
      <w:pPr>
        <w:spacing w:after="60" w:before="60"/>
      </w:pPr>
      <w:r>
        <w:t xml:space="preserve"/>
      </w:r>
    </w:p>
    <w:p>
      <w:pPr>
        <w:pBdr>
          <w:bottom w:val="single" w:color="2E75B6" w:sz="6" w:space="1"/>
        </w:pBdr>
        <w:spacing w:after="160" w:before="160"/>
      </w:pPr>
      <w:r>
        <w:t xml:space="preserve"/>
      </w:r>
    </w:p>
    <w:p>
      <w:pPr>
        <w:spacing w:after="80" w:before="240"/>
        <w:jc w:val="center"/>
      </w:pPr>
      <w:r>
        <w:rPr>
          <w:rFonts w:ascii="Arial" w:cs="Arial" w:eastAsia="Arial" w:hAnsi="Arial"/>
          <w:i/>
          <w:iCs/>
          <w:color w:val="888888"/>
          <w:sz w:val="18"/>
          <w:szCs w:val="18"/>
        </w:rPr>
        <w:t xml:space="preserve">GBA 6220 | Data Modeling &amp; Data Warehouse | Cal Poly Pomona</w:t>
      </w:r>
    </w:p>
    <w:sectPr>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DataCo Supply Chain — Data Modeling Portfolio Case Study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2026-08-21T18:52:36.096Z</dcterms:created>
  <dcterms:modified xsi:type="dcterms:W3CDTF">2026-08-21T18:52:36.111Z</dcterms:modified>
</cp:coreProperties>
</file>

<file path=docProps/custom.xml><?xml version="1.0" encoding="utf-8"?>
<Properties xmlns="http://schemas.openxmlformats.org/officeDocument/2006/custom-properties" xmlns:vt="http://schemas.openxmlformats.org/officeDocument/2006/docPropsVTypes"/>
</file>